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A8" w:rsidRDefault="00B611A8" w:rsidP="006969B1">
      <w:pPr>
        <w:jc w:val="both"/>
        <w:rPr>
          <w:b/>
          <w:bCs/>
        </w:rPr>
      </w:pPr>
    </w:p>
    <w:p w:rsidR="0034388B" w:rsidRDefault="0034388B" w:rsidP="006969B1">
      <w:pPr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300"/>
      </w:tblGrid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 xml:space="preserve">Nº CPAYSB                   </w:t>
            </w:r>
          </w:p>
        </w:tc>
        <w:tc>
          <w:tcPr>
            <w:tcW w:w="6300" w:type="dxa"/>
            <w:vAlign w:val="center"/>
          </w:tcPr>
          <w:p w:rsidR="00B611A8" w:rsidRPr="00D5417C" w:rsidRDefault="00B611A8" w:rsidP="00E736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 xml:space="preserve">S/REFERENCIA:      </w:t>
            </w:r>
          </w:p>
        </w:tc>
        <w:tc>
          <w:tcPr>
            <w:tcW w:w="6300" w:type="dxa"/>
            <w:vAlign w:val="center"/>
          </w:tcPr>
          <w:p w:rsidR="00B611A8" w:rsidRPr="00D5417C" w:rsidRDefault="00B611A8" w:rsidP="006B3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 xml:space="preserve">Fecha de entrada:   </w:t>
            </w:r>
          </w:p>
        </w:tc>
        <w:tc>
          <w:tcPr>
            <w:tcW w:w="6300" w:type="dxa"/>
          </w:tcPr>
          <w:p w:rsidR="00B611A8" w:rsidRPr="00A029AD" w:rsidRDefault="00B611A8" w:rsidP="00E736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Tipo expediente:</w:t>
            </w:r>
            <w:r w:rsidRPr="00D5417C">
              <w:rPr>
                <w:rFonts w:ascii="Calibri" w:hAnsi="Calibri"/>
                <w:b/>
              </w:rPr>
              <w:t xml:space="preserve">       </w:t>
            </w:r>
          </w:p>
        </w:tc>
        <w:tc>
          <w:tcPr>
            <w:tcW w:w="6300" w:type="dxa"/>
          </w:tcPr>
          <w:p w:rsidR="0069786F" w:rsidRPr="006969B1" w:rsidRDefault="0069786F" w:rsidP="001F6978">
            <w:pPr>
              <w:jc w:val="both"/>
              <w:rPr>
                <w:b/>
              </w:rPr>
            </w:pPr>
            <w:r>
              <w:rPr>
                <w:b/>
                <w:bCs/>
              </w:rPr>
              <w:t>INFORME JURÍDICO SOBRE LA OBLIGATORI</w:t>
            </w:r>
            <w:r w:rsidR="00857582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DAD DE INSTALAR </w:t>
            </w:r>
            <w:r w:rsidR="000C054B">
              <w:rPr>
                <w:b/>
                <w:bCs/>
              </w:rPr>
              <w:t>UN</w:t>
            </w:r>
            <w:r w:rsidR="00946AAD">
              <w:rPr>
                <w:b/>
                <w:bCs/>
              </w:rPr>
              <w:t>A</w:t>
            </w:r>
            <w:r w:rsidR="00C1551A">
              <w:rPr>
                <w:b/>
                <w:bCs/>
              </w:rPr>
              <w:t xml:space="preserve"> </w:t>
            </w:r>
            <w:r w:rsidR="00946AAD">
              <w:rPr>
                <w:b/>
                <w:bCs/>
              </w:rPr>
              <w:t xml:space="preserve">SILLA </w:t>
            </w:r>
            <w:r w:rsidR="00E73608">
              <w:rPr>
                <w:b/>
                <w:bCs/>
              </w:rPr>
              <w:t>SALVA</w:t>
            </w:r>
            <w:r w:rsidR="00A42530">
              <w:rPr>
                <w:b/>
                <w:bCs/>
              </w:rPr>
              <w:t xml:space="preserve"> </w:t>
            </w:r>
            <w:r w:rsidR="00E73608">
              <w:rPr>
                <w:b/>
                <w:bCs/>
              </w:rPr>
              <w:t>ESCALERAS</w:t>
            </w:r>
            <w:r w:rsidR="0031316E">
              <w:rPr>
                <w:b/>
                <w:bCs/>
              </w:rPr>
              <w:t xml:space="preserve"> </w:t>
            </w:r>
            <w:r w:rsidR="002C30CD">
              <w:rPr>
                <w:b/>
                <w:bCs/>
              </w:rPr>
              <w:t>EN EL INMUEBLE</w:t>
            </w:r>
            <w:r w:rsidR="002C30CD" w:rsidRPr="0069786F">
              <w:rPr>
                <w:b/>
                <w:bCs/>
              </w:rPr>
              <w:t xml:space="preserve"> </w:t>
            </w:r>
            <w:r w:rsidR="002C30CD">
              <w:rPr>
                <w:b/>
                <w:bCs/>
              </w:rPr>
              <w:t>DONDE RESIDEN PERSONAS MAYORES DE 70 AÑOS O CON DISCAPACIDAD</w:t>
            </w:r>
          </w:p>
          <w:p w:rsidR="00B611A8" w:rsidRPr="00D5417C" w:rsidRDefault="00B611A8" w:rsidP="0069786F">
            <w:pPr>
              <w:tabs>
                <w:tab w:val="left" w:pos="2230"/>
              </w:tabs>
              <w:ind w:right="43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Solicitante:</w:t>
            </w:r>
          </w:p>
        </w:tc>
        <w:tc>
          <w:tcPr>
            <w:tcW w:w="6300" w:type="dxa"/>
          </w:tcPr>
          <w:p w:rsidR="00B611A8" w:rsidRPr="00D5417C" w:rsidRDefault="00B611A8" w:rsidP="00E736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611A8" w:rsidRPr="00D5417C" w:rsidTr="006B3248">
        <w:tc>
          <w:tcPr>
            <w:tcW w:w="2160" w:type="dxa"/>
          </w:tcPr>
          <w:p w:rsidR="00B611A8" w:rsidRPr="00D5417C" w:rsidRDefault="00B611A8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Representado/a</w:t>
            </w:r>
          </w:p>
        </w:tc>
        <w:tc>
          <w:tcPr>
            <w:tcW w:w="6300" w:type="dxa"/>
          </w:tcPr>
          <w:p w:rsidR="00B611A8" w:rsidRPr="00D5417C" w:rsidRDefault="00B611A8" w:rsidP="006B3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1316E" w:rsidRPr="00D5417C" w:rsidTr="006B3248">
        <w:tc>
          <w:tcPr>
            <w:tcW w:w="2160" w:type="dxa"/>
          </w:tcPr>
          <w:p w:rsidR="0031316E" w:rsidRPr="00D5417C" w:rsidRDefault="0031316E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Concepto</w:t>
            </w:r>
          </w:p>
        </w:tc>
        <w:tc>
          <w:tcPr>
            <w:tcW w:w="6300" w:type="dxa"/>
          </w:tcPr>
          <w:p w:rsidR="0031316E" w:rsidRPr="006969B1" w:rsidRDefault="0031316E" w:rsidP="00A76C1C">
            <w:pPr>
              <w:jc w:val="both"/>
              <w:rPr>
                <w:b/>
              </w:rPr>
            </w:pPr>
            <w:r>
              <w:rPr>
                <w:b/>
                <w:bCs/>
              </w:rPr>
              <w:t>INFORME JURÍDICO SOBRE LA OBLIGATORIEDAD DE INSTALAR UN</w:t>
            </w:r>
            <w:r w:rsidR="00946AAD">
              <w:rPr>
                <w:b/>
                <w:bCs/>
              </w:rPr>
              <w:t>A SILLA</w:t>
            </w:r>
            <w:r w:rsidR="00C1551A">
              <w:rPr>
                <w:b/>
                <w:bCs/>
              </w:rPr>
              <w:t xml:space="preserve"> </w:t>
            </w:r>
            <w:r w:rsidR="00E73608">
              <w:rPr>
                <w:b/>
                <w:bCs/>
              </w:rPr>
              <w:t>SALVA</w:t>
            </w:r>
            <w:r w:rsidR="00A42530">
              <w:rPr>
                <w:b/>
                <w:bCs/>
              </w:rPr>
              <w:t xml:space="preserve"> </w:t>
            </w:r>
            <w:r w:rsidR="00E73608">
              <w:rPr>
                <w:b/>
                <w:bCs/>
              </w:rPr>
              <w:t>ESCALERAS</w:t>
            </w:r>
            <w:r w:rsidR="00C155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EN EL INMUEBLE</w:t>
            </w:r>
            <w:r w:rsidRPr="006978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DONDE RESIDEN PERSONAS MAYORES DE 70 AÑOS O CON DISCAPACIDAD</w:t>
            </w:r>
          </w:p>
          <w:p w:rsidR="0031316E" w:rsidRPr="00D5417C" w:rsidRDefault="0031316E" w:rsidP="00A76C1C">
            <w:pPr>
              <w:tabs>
                <w:tab w:val="left" w:pos="2230"/>
              </w:tabs>
              <w:ind w:right="43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1316E" w:rsidRPr="00D5417C" w:rsidTr="006B3248">
        <w:tc>
          <w:tcPr>
            <w:tcW w:w="2160" w:type="dxa"/>
          </w:tcPr>
          <w:p w:rsidR="0031316E" w:rsidRDefault="0031316E" w:rsidP="006B3248">
            <w:r>
              <w:t>Localización</w:t>
            </w:r>
          </w:p>
        </w:tc>
        <w:tc>
          <w:tcPr>
            <w:tcW w:w="6300" w:type="dxa"/>
          </w:tcPr>
          <w:p w:rsidR="0031316E" w:rsidRPr="00D5417C" w:rsidRDefault="0031316E" w:rsidP="00F439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1316E" w:rsidRPr="00D5417C" w:rsidTr="006B3248">
        <w:tc>
          <w:tcPr>
            <w:tcW w:w="2160" w:type="dxa"/>
          </w:tcPr>
          <w:p w:rsidR="0031316E" w:rsidRPr="00D5417C" w:rsidRDefault="0031316E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Entorno próximo:</w:t>
            </w:r>
          </w:p>
        </w:tc>
        <w:tc>
          <w:tcPr>
            <w:tcW w:w="6300" w:type="dxa"/>
          </w:tcPr>
          <w:p w:rsidR="0031316E" w:rsidRPr="00D5417C" w:rsidRDefault="0031316E" w:rsidP="006B3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1316E" w:rsidRPr="00D5417C" w:rsidTr="006B3248">
        <w:tc>
          <w:tcPr>
            <w:tcW w:w="2160" w:type="dxa"/>
          </w:tcPr>
          <w:p w:rsidR="0031316E" w:rsidRPr="00D5417C" w:rsidRDefault="0031316E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Ámbito:</w:t>
            </w:r>
          </w:p>
        </w:tc>
        <w:tc>
          <w:tcPr>
            <w:tcW w:w="6300" w:type="dxa"/>
          </w:tcPr>
          <w:p w:rsidR="0031316E" w:rsidRPr="00D5417C" w:rsidRDefault="0031316E" w:rsidP="004A10C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1316E" w:rsidRPr="00D5417C" w:rsidTr="006B3248">
        <w:tc>
          <w:tcPr>
            <w:tcW w:w="2160" w:type="dxa"/>
          </w:tcPr>
          <w:p w:rsidR="0031316E" w:rsidRPr="00D5417C" w:rsidRDefault="0031316E" w:rsidP="006B3248">
            <w:pPr>
              <w:rPr>
                <w:rFonts w:ascii="Calibri" w:hAnsi="Calibri"/>
              </w:rPr>
            </w:pPr>
            <w:r w:rsidRPr="00D5417C">
              <w:rPr>
                <w:rFonts w:ascii="Calibri" w:hAnsi="Calibri"/>
              </w:rPr>
              <w:t>Informante:</w:t>
            </w:r>
          </w:p>
        </w:tc>
        <w:tc>
          <w:tcPr>
            <w:tcW w:w="6300" w:type="dxa"/>
          </w:tcPr>
          <w:p w:rsidR="0031316E" w:rsidRPr="00D5417C" w:rsidRDefault="0031316E" w:rsidP="006B3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611A8" w:rsidRDefault="00B611A8" w:rsidP="006969B1">
      <w:pPr>
        <w:jc w:val="both"/>
        <w:rPr>
          <w:b/>
          <w:bCs/>
        </w:rPr>
      </w:pPr>
    </w:p>
    <w:p w:rsidR="00B611A8" w:rsidRDefault="00B611A8" w:rsidP="006969B1">
      <w:pPr>
        <w:jc w:val="both"/>
        <w:rPr>
          <w:b/>
          <w:bCs/>
        </w:rPr>
      </w:pPr>
    </w:p>
    <w:p w:rsidR="001F6978" w:rsidRPr="006969B1" w:rsidRDefault="001F6978" w:rsidP="001F6978">
      <w:pPr>
        <w:jc w:val="both"/>
        <w:rPr>
          <w:b/>
        </w:rPr>
      </w:pPr>
      <w:r>
        <w:rPr>
          <w:b/>
          <w:bCs/>
        </w:rPr>
        <w:t>INFORME JURÍDICO SOBRE LA OBLIGATORI</w:t>
      </w:r>
      <w:r w:rsidR="00857582">
        <w:rPr>
          <w:b/>
          <w:bCs/>
        </w:rPr>
        <w:t>E</w:t>
      </w:r>
      <w:r>
        <w:rPr>
          <w:b/>
          <w:bCs/>
        </w:rPr>
        <w:t xml:space="preserve">DAD DE INSTALAR </w:t>
      </w:r>
      <w:r w:rsidR="00C1551A">
        <w:rPr>
          <w:b/>
          <w:bCs/>
        </w:rPr>
        <w:t>UN</w:t>
      </w:r>
      <w:r w:rsidR="00946AAD">
        <w:rPr>
          <w:b/>
          <w:bCs/>
        </w:rPr>
        <w:t>A</w:t>
      </w:r>
      <w:r w:rsidR="00C1551A">
        <w:rPr>
          <w:b/>
          <w:bCs/>
        </w:rPr>
        <w:t xml:space="preserve"> </w:t>
      </w:r>
      <w:r w:rsidR="00946AAD">
        <w:rPr>
          <w:b/>
          <w:bCs/>
        </w:rPr>
        <w:t xml:space="preserve">SILLA </w:t>
      </w:r>
      <w:r w:rsidR="00F43917">
        <w:rPr>
          <w:b/>
          <w:bCs/>
        </w:rPr>
        <w:t>SALVA</w:t>
      </w:r>
      <w:r w:rsidR="00A42530">
        <w:rPr>
          <w:b/>
          <w:bCs/>
        </w:rPr>
        <w:t xml:space="preserve"> </w:t>
      </w:r>
      <w:r w:rsidR="00F43917">
        <w:rPr>
          <w:b/>
          <w:bCs/>
        </w:rPr>
        <w:t>ESCALERAS</w:t>
      </w:r>
      <w:r w:rsidR="00507A0E">
        <w:rPr>
          <w:b/>
          <w:bCs/>
        </w:rPr>
        <w:t xml:space="preserve"> </w:t>
      </w:r>
      <w:r w:rsidR="002C30CD">
        <w:rPr>
          <w:b/>
          <w:bCs/>
        </w:rPr>
        <w:t>EN EL INMUEBLE</w:t>
      </w:r>
      <w:r w:rsidR="002C30CD" w:rsidRPr="0069786F">
        <w:rPr>
          <w:b/>
          <w:bCs/>
        </w:rPr>
        <w:t xml:space="preserve"> </w:t>
      </w:r>
      <w:r w:rsidR="002C30CD">
        <w:rPr>
          <w:b/>
          <w:bCs/>
        </w:rPr>
        <w:t>DONDE RESIDEN PERSONAS MAYORES DE 70 AÑOS O CON DISCAPACIDAD</w:t>
      </w:r>
    </w:p>
    <w:p w:rsidR="00B611A8" w:rsidRDefault="00B611A8" w:rsidP="006969B1">
      <w:pPr>
        <w:jc w:val="both"/>
        <w:rPr>
          <w:b/>
          <w:bCs/>
        </w:rPr>
      </w:pPr>
    </w:p>
    <w:p w:rsidR="00D05BA8" w:rsidRDefault="00D05BA8" w:rsidP="006969B1">
      <w:pPr>
        <w:jc w:val="both"/>
        <w:rPr>
          <w:b/>
          <w:bCs/>
        </w:rPr>
      </w:pPr>
    </w:p>
    <w:p w:rsidR="006E015D" w:rsidRDefault="0071244A" w:rsidP="006969B1">
      <w:pPr>
        <w:jc w:val="both"/>
      </w:pPr>
      <w:r>
        <w:t>A petición de la Secretaría del</w:t>
      </w:r>
      <w:r w:rsidR="00D50DE2" w:rsidRPr="00126A33">
        <w:t xml:space="preserve"> Consejo par</w:t>
      </w:r>
      <w:r w:rsidR="00D224BA" w:rsidRPr="00126A33">
        <w:t>a</w:t>
      </w:r>
      <w:r w:rsidR="00D50DE2" w:rsidRPr="00126A33">
        <w:t xml:space="preserve"> </w:t>
      </w:r>
      <w:smartTag w:uri="urn:schemas-microsoft-com:office:smarttags" w:element="PersonName">
        <w:smartTagPr>
          <w:attr w:name="ProductID" w:val="었!"/>
        </w:smartTagPr>
        <w:r w:rsidR="00D50DE2" w:rsidRPr="00126A33">
          <w:t>la Promoción</w:t>
        </w:r>
      </w:smartTag>
      <w:r w:rsidR="00D50DE2" w:rsidRPr="00126A33">
        <w:t xml:space="preserve"> de </w:t>
      </w:r>
      <w:smartTag w:uri="urn:schemas-microsoft-com:office:smarttags" w:element="PersonName">
        <w:smartTagPr>
          <w:attr w:name="ProductID" w:val="la Accesibilidad"/>
        </w:smartTagPr>
        <w:r w:rsidR="00D50DE2" w:rsidRPr="00126A33">
          <w:t>la Accesibilidad</w:t>
        </w:r>
      </w:smartTag>
      <w:r w:rsidR="00D50DE2" w:rsidRPr="00126A33">
        <w:t xml:space="preserve"> y Supre</w:t>
      </w:r>
      <w:r w:rsidR="006E015D">
        <w:t xml:space="preserve">sión de Barreras de </w:t>
      </w:r>
      <w:smartTag w:uri="urn:schemas-microsoft-com:office:smarttags" w:element="PersonName">
        <w:smartTagPr>
          <w:attr w:name="ProductID" w:val="LA COMUNIDAD"/>
        </w:smartTagPr>
        <w:r w:rsidR="006E015D">
          <w:t>la Comunidad</w:t>
        </w:r>
      </w:smartTag>
      <w:r w:rsidR="006E015D">
        <w:t xml:space="preserve"> de Madrid</w:t>
      </w:r>
      <w:r w:rsidR="00D50DE2" w:rsidRPr="00126A33">
        <w:t xml:space="preserve">, </w:t>
      </w:r>
      <w:r w:rsidR="00F345F5" w:rsidRPr="00126A33">
        <w:t xml:space="preserve">y </w:t>
      </w:r>
      <w:r w:rsidR="003B0F47">
        <w:t>en</w:t>
      </w:r>
      <w:r w:rsidR="009440F2">
        <w:t xml:space="preserve"> relación a</w:t>
      </w:r>
      <w:r w:rsidR="008B6624">
        <w:t xml:space="preserve"> </w:t>
      </w:r>
      <w:r w:rsidR="00872335">
        <w:t>l</w:t>
      </w:r>
      <w:r w:rsidR="008B6624">
        <w:t xml:space="preserve">a </w:t>
      </w:r>
      <w:r w:rsidR="00C37AB3">
        <w:t>solicitud</w:t>
      </w:r>
      <w:r w:rsidR="008B6624">
        <w:t xml:space="preserve"> presentada</w:t>
      </w:r>
      <w:r w:rsidR="00F1489E">
        <w:t xml:space="preserve"> por</w:t>
      </w:r>
      <w:r w:rsidR="00DC00AE">
        <w:t>,</w:t>
      </w:r>
      <w:r w:rsidR="00C1551A">
        <w:t xml:space="preserve"> </w:t>
      </w:r>
      <w:r w:rsidR="009A52D9">
        <w:t>---</w:t>
      </w:r>
      <w:r w:rsidR="006969B1" w:rsidRPr="00B427EF">
        <w:t xml:space="preserve"> con domicilio en</w:t>
      </w:r>
      <w:r w:rsidR="00C1551A">
        <w:t xml:space="preserve"> </w:t>
      </w:r>
      <w:r w:rsidR="005C1046">
        <w:t>Madrid</w:t>
      </w:r>
      <w:r w:rsidR="006969B1" w:rsidRPr="00B427EF">
        <w:t>,</w:t>
      </w:r>
      <w:r w:rsidR="0069786F">
        <w:t xml:space="preserve"> </w:t>
      </w:r>
      <w:r w:rsidR="006969B1">
        <w:t>referente a</w:t>
      </w:r>
      <w:r w:rsidR="00D85804">
        <w:t xml:space="preserve"> </w:t>
      </w:r>
      <w:r w:rsidR="0069786F">
        <w:t>la obligatoriedad</w:t>
      </w:r>
      <w:r w:rsidR="0069786F" w:rsidRPr="0069786F">
        <w:t xml:space="preserve"> </w:t>
      </w:r>
      <w:r w:rsidR="0069786F">
        <w:t xml:space="preserve">de instalar </w:t>
      </w:r>
      <w:r w:rsidR="0069786F" w:rsidRPr="002C30CD">
        <w:t>un</w:t>
      </w:r>
      <w:r w:rsidR="00946AAD">
        <w:t>a silla</w:t>
      </w:r>
      <w:r w:rsidR="00CD6150">
        <w:t xml:space="preserve"> </w:t>
      </w:r>
      <w:r w:rsidR="00F43917">
        <w:t>salva</w:t>
      </w:r>
      <w:r w:rsidR="00A42530">
        <w:t xml:space="preserve"> </w:t>
      </w:r>
      <w:r w:rsidR="00F43917">
        <w:t>escaleras</w:t>
      </w:r>
      <w:r w:rsidR="00CD6150">
        <w:t xml:space="preserve"> </w:t>
      </w:r>
      <w:r w:rsidR="005E109F">
        <w:rPr>
          <w:bCs/>
        </w:rPr>
        <w:t>en el inmueble</w:t>
      </w:r>
      <w:r w:rsidR="001F0A44" w:rsidRPr="002C30CD">
        <w:rPr>
          <w:bCs/>
        </w:rPr>
        <w:t xml:space="preserve"> </w:t>
      </w:r>
      <w:r w:rsidR="0069786F">
        <w:t>donde residen personas</w:t>
      </w:r>
      <w:r w:rsidR="001F6978">
        <w:t xml:space="preserve"> mayores de 70 años o con</w:t>
      </w:r>
      <w:r w:rsidR="006A70F1">
        <w:t xml:space="preserve"> discapacidad</w:t>
      </w:r>
      <w:r w:rsidR="00C365D0">
        <w:t>,</w:t>
      </w:r>
      <w:r w:rsidR="008F1826">
        <w:t xml:space="preserve"> a</w:t>
      </w:r>
      <w:r w:rsidR="00D85804">
        <w:t xml:space="preserve"> los efectos de</w:t>
      </w:r>
      <w:r w:rsidR="00D05BA8">
        <w:t>l</w:t>
      </w:r>
      <w:r w:rsidR="00D85804">
        <w:t xml:space="preserve"> cumplimiento de</w:t>
      </w:r>
      <w:r w:rsidR="006969B1">
        <w:t xml:space="preserve"> la normativa sobre accesibilidad y supresión de barreras arquitectónicas que dificult</w:t>
      </w:r>
      <w:r w:rsidR="00D85804">
        <w:t>a</w:t>
      </w:r>
      <w:r w:rsidR="006969B1">
        <w:t xml:space="preserve">n el acceso o </w:t>
      </w:r>
      <w:r w:rsidR="006722CA">
        <w:t xml:space="preserve">la </w:t>
      </w:r>
      <w:r w:rsidR="006969B1">
        <w:t>movilidad de personas, se solicita a este Área de Normativa Técnica, Supervisión y Control la elaboración del siguiente</w:t>
      </w:r>
      <w:r w:rsidR="006969B1" w:rsidRPr="00126A33">
        <w:t xml:space="preserve"> informe</w:t>
      </w:r>
      <w:r w:rsidR="00E43CC3">
        <w:t>:</w:t>
      </w:r>
      <w:r w:rsidR="006969B1">
        <w:t xml:space="preserve"> </w:t>
      </w:r>
    </w:p>
    <w:p w:rsidR="00831623" w:rsidRPr="00B427EF" w:rsidRDefault="00831623" w:rsidP="006969B1">
      <w:pPr>
        <w:jc w:val="both"/>
      </w:pPr>
    </w:p>
    <w:p w:rsidR="008B6624" w:rsidRDefault="008B6624" w:rsidP="00DD6AE9">
      <w:pPr>
        <w:jc w:val="both"/>
        <w:rPr>
          <w:b/>
        </w:rPr>
      </w:pPr>
    </w:p>
    <w:p w:rsidR="00324660" w:rsidRDefault="00324660" w:rsidP="00E028C6">
      <w:pPr>
        <w:jc w:val="center"/>
        <w:rPr>
          <w:b/>
        </w:rPr>
      </w:pPr>
      <w:r>
        <w:rPr>
          <w:b/>
        </w:rPr>
        <w:t>ANTECEDENTES</w:t>
      </w:r>
    </w:p>
    <w:p w:rsidR="00324660" w:rsidRDefault="00324660" w:rsidP="00DD6AE9">
      <w:pPr>
        <w:jc w:val="both"/>
        <w:rPr>
          <w:b/>
        </w:rPr>
      </w:pPr>
    </w:p>
    <w:p w:rsidR="008F1826" w:rsidRDefault="008F1826" w:rsidP="00DD6AE9">
      <w:pPr>
        <w:jc w:val="both"/>
        <w:rPr>
          <w:b/>
        </w:rPr>
      </w:pPr>
    </w:p>
    <w:p w:rsidR="001F6978" w:rsidRDefault="005C1046" w:rsidP="001F6978">
      <w:pPr>
        <w:jc w:val="both"/>
      </w:pPr>
      <w:r>
        <w:t xml:space="preserve">La </w:t>
      </w:r>
      <w:r w:rsidR="00324660">
        <w:t>solicitante</w:t>
      </w:r>
      <w:r w:rsidR="00F43917">
        <w:t xml:space="preserve"> </w:t>
      </w:r>
      <w:r>
        <w:t>consulta</w:t>
      </w:r>
      <w:r w:rsidR="00D85804">
        <w:t xml:space="preserve"> la obligatoriedad</w:t>
      </w:r>
      <w:r w:rsidR="00293B2E">
        <w:t xml:space="preserve"> por parte </w:t>
      </w:r>
      <w:r w:rsidR="00F43917">
        <w:t>la</w:t>
      </w:r>
      <w:r>
        <w:t xml:space="preserve"> </w:t>
      </w:r>
      <w:r w:rsidR="00293B2E">
        <w:t>Comunidad de Propietarios</w:t>
      </w:r>
      <w:r w:rsidR="00F43917">
        <w:t xml:space="preserve"> de </w:t>
      </w:r>
      <w:r w:rsidR="00341437">
        <w:t>instalar</w:t>
      </w:r>
      <w:r w:rsidR="00C365D0">
        <w:t xml:space="preserve"> un</w:t>
      </w:r>
      <w:r w:rsidR="00946AAD">
        <w:t>a silla</w:t>
      </w:r>
      <w:r w:rsidR="00153735">
        <w:t xml:space="preserve"> </w:t>
      </w:r>
      <w:r w:rsidR="00F43917">
        <w:t>salva</w:t>
      </w:r>
      <w:r w:rsidR="00A42530">
        <w:t xml:space="preserve"> </w:t>
      </w:r>
      <w:r w:rsidR="00F43917">
        <w:t>escaleras</w:t>
      </w:r>
      <w:r w:rsidR="00962348">
        <w:t xml:space="preserve"> en el inmueble donde</w:t>
      </w:r>
      <w:r w:rsidR="00962348" w:rsidRPr="00962348">
        <w:t xml:space="preserve"> </w:t>
      </w:r>
      <w:r w:rsidR="00962348">
        <w:t>reside</w:t>
      </w:r>
      <w:r w:rsidR="008428E2">
        <w:t>n personas mayores de 70 años y /o</w:t>
      </w:r>
      <w:r w:rsidR="00962348">
        <w:t xml:space="preserve"> con </w:t>
      </w:r>
      <w:r w:rsidR="008428E2">
        <w:t>discapacidad</w:t>
      </w:r>
      <w:r w:rsidR="00962348">
        <w:t>,</w:t>
      </w:r>
      <w:r w:rsidR="001F6978">
        <w:t xml:space="preserve"> </w:t>
      </w:r>
      <w:r w:rsidR="002F7EDA">
        <w:t>a</w:t>
      </w:r>
      <w:r w:rsidR="001F6978">
        <w:t xml:space="preserve"> los efectos del cumplimiento de la normativa sobre accesibilidad y supresión de barreras arquitectónicas que dificultan el acc</w:t>
      </w:r>
      <w:r w:rsidR="007C57E3">
        <w:t>eso o la movilidad de personas.</w:t>
      </w:r>
    </w:p>
    <w:p w:rsidR="007C57E3" w:rsidRDefault="007C57E3" w:rsidP="001F6978">
      <w:pPr>
        <w:jc w:val="both"/>
      </w:pPr>
    </w:p>
    <w:p w:rsidR="0034388B" w:rsidRDefault="0034388B" w:rsidP="001F6978">
      <w:pPr>
        <w:jc w:val="both"/>
      </w:pPr>
    </w:p>
    <w:p w:rsidR="00BA4362" w:rsidRDefault="00BA4362" w:rsidP="001F6978">
      <w:pPr>
        <w:jc w:val="both"/>
      </w:pPr>
    </w:p>
    <w:p w:rsidR="0034388B" w:rsidRDefault="0034388B" w:rsidP="001F6978">
      <w:pPr>
        <w:jc w:val="both"/>
      </w:pPr>
    </w:p>
    <w:p w:rsidR="0034388B" w:rsidRDefault="0034388B" w:rsidP="001F6978">
      <w:pPr>
        <w:jc w:val="both"/>
      </w:pPr>
    </w:p>
    <w:p w:rsidR="0034388B" w:rsidRDefault="0034388B" w:rsidP="001F6978">
      <w:pPr>
        <w:jc w:val="both"/>
      </w:pPr>
    </w:p>
    <w:p w:rsidR="0034388B" w:rsidRDefault="0034388B" w:rsidP="001F6978">
      <w:pPr>
        <w:jc w:val="both"/>
      </w:pPr>
    </w:p>
    <w:p w:rsidR="0034388B" w:rsidRDefault="0034388B" w:rsidP="001F6978">
      <w:pPr>
        <w:jc w:val="both"/>
      </w:pPr>
    </w:p>
    <w:p w:rsidR="007C57E3" w:rsidRDefault="007C57E3" w:rsidP="001F6978">
      <w:pPr>
        <w:jc w:val="both"/>
      </w:pPr>
    </w:p>
    <w:p w:rsidR="00962348" w:rsidRDefault="00962348" w:rsidP="00E028C6">
      <w:pPr>
        <w:jc w:val="center"/>
        <w:rPr>
          <w:b/>
        </w:rPr>
      </w:pPr>
    </w:p>
    <w:p w:rsidR="00962348" w:rsidRDefault="00962348" w:rsidP="00E028C6">
      <w:pPr>
        <w:jc w:val="center"/>
        <w:rPr>
          <w:b/>
        </w:rPr>
      </w:pPr>
    </w:p>
    <w:p w:rsidR="0064764C" w:rsidRDefault="00443E92" w:rsidP="00E028C6">
      <w:pPr>
        <w:jc w:val="center"/>
        <w:rPr>
          <w:b/>
        </w:rPr>
      </w:pPr>
      <w:r w:rsidRPr="00451541">
        <w:rPr>
          <w:b/>
        </w:rPr>
        <w:lastRenderedPageBreak/>
        <w:t>NORMATIVA APLICABLE</w:t>
      </w:r>
    </w:p>
    <w:p w:rsidR="007E1D3D" w:rsidRDefault="007E1D3D" w:rsidP="00B75F77">
      <w:pPr>
        <w:jc w:val="both"/>
        <w:rPr>
          <w:rFonts w:ascii="Verdana" w:hAnsi="Verdana"/>
          <w:sz w:val="22"/>
          <w:szCs w:val="22"/>
        </w:rPr>
      </w:pPr>
    </w:p>
    <w:p w:rsidR="0034388B" w:rsidRDefault="0034388B" w:rsidP="00114C10">
      <w:pPr>
        <w:jc w:val="both"/>
      </w:pPr>
    </w:p>
    <w:p w:rsidR="00114C10" w:rsidRPr="007E1D3D" w:rsidRDefault="00114C10" w:rsidP="00114C10">
      <w:pPr>
        <w:jc w:val="both"/>
      </w:pPr>
      <w:r w:rsidRPr="006722CA">
        <w:t xml:space="preserve">La </w:t>
      </w:r>
      <w:r w:rsidRPr="006722CA">
        <w:rPr>
          <w:b/>
        </w:rPr>
        <w:t>Ley 15/1995, de 30 de mayo, sobre límites del dominio sobre inmuebles, para eliminar barreras arquitectónicas a las personas con discapacidad</w:t>
      </w:r>
      <w:r w:rsidRPr="007E1D3D">
        <w:t xml:space="preserve">, en su artículo 1.3, </w:t>
      </w:r>
      <w:r>
        <w:t>e</w:t>
      </w:r>
      <w:r w:rsidRPr="007E1D3D">
        <w:t>stablec</w:t>
      </w:r>
      <w:r>
        <w:t>ió</w:t>
      </w:r>
      <w:r w:rsidRPr="007E1D3D">
        <w:t xml:space="preserve"> expresamente que los derechos que </w:t>
      </w:r>
      <w:smartTag w:uri="urn:schemas-microsoft-com:office:smarttags" w:element="PersonName">
        <w:smartTagPr>
          <w:attr w:name="ProductID" w:val="la Ley"/>
        </w:smartTagPr>
        <w:r w:rsidRPr="007E1D3D">
          <w:t>la Ley</w:t>
        </w:r>
      </w:smartTag>
      <w:r w:rsidRPr="007E1D3D">
        <w:t xml:space="preserve"> reconoc</w:t>
      </w:r>
      <w:r>
        <w:t>ía</w:t>
      </w:r>
      <w:r w:rsidRPr="007E1D3D">
        <w:t xml:space="preserve"> a las personas con minusvalía física podr</w:t>
      </w:r>
      <w:r>
        <w:t>ían</w:t>
      </w:r>
      <w:r w:rsidRPr="007E1D3D">
        <w:t xml:space="preserve"> también ser ejercitados por las personas mayores de 70 años, sin que </w:t>
      </w:r>
      <w:r>
        <w:t>fuese</w:t>
      </w:r>
      <w:r w:rsidRPr="007E1D3D">
        <w:t xml:space="preserve"> necesario que </w:t>
      </w:r>
      <w:r>
        <w:t xml:space="preserve">estas </w:t>
      </w:r>
      <w:r w:rsidRPr="007E1D3D">
        <w:t>acredit</w:t>
      </w:r>
      <w:r>
        <w:t>aran</w:t>
      </w:r>
      <w:r w:rsidRPr="007E1D3D">
        <w:t xml:space="preserve"> su discapacidad con certificado de minusvalía. </w:t>
      </w:r>
    </w:p>
    <w:p w:rsidR="00114C10" w:rsidRPr="007E1D3D" w:rsidRDefault="00114C10" w:rsidP="00114C10">
      <w:pPr>
        <w:jc w:val="both"/>
      </w:pPr>
    </w:p>
    <w:p w:rsidR="00114C10" w:rsidRPr="007E1D3D" w:rsidRDefault="00114C10" w:rsidP="00114C10">
      <w:pPr>
        <w:jc w:val="both"/>
      </w:pPr>
      <w:r w:rsidRPr="007E1D3D">
        <w:t>Es decir, queda</w:t>
      </w:r>
      <w:r>
        <w:t xml:space="preserve">ban </w:t>
      </w:r>
      <w:r w:rsidRPr="007E1D3D">
        <w:t>equiparados los derechos de ambos grupos de personas cuando de lo que se trata</w:t>
      </w:r>
      <w:r>
        <w:t>ba</w:t>
      </w:r>
      <w:r w:rsidRPr="007E1D3D">
        <w:t xml:space="preserve"> e</w:t>
      </w:r>
      <w:r>
        <w:t>ra</w:t>
      </w:r>
      <w:r w:rsidRPr="007E1D3D">
        <w:t xml:space="preserve"> de eliminar barreras arquitectónicas.</w:t>
      </w:r>
    </w:p>
    <w:p w:rsidR="00114C10" w:rsidRPr="007E1D3D" w:rsidRDefault="00114C10" w:rsidP="00114C10">
      <w:pPr>
        <w:jc w:val="both"/>
      </w:pPr>
    </w:p>
    <w:p w:rsidR="00114C10" w:rsidRPr="007E1D3D" w:rsidRDefault="00114C10" w:rsidP="00114C10">
      <w:pPr>
        <w:jc w:val="both"/>
      </w:pPr>
      <w:r w:rsidRPr="007E1D3D">
        <w:t>Posteriormente</w:t>
      </w:r>
      <w:r w:rsidRPr="006722CA">
        <w:t xml:space="preserve">, </w:t>
      </w:r>
      <w:r>
        <w:t>l</w:t>
      </w:r>
      <w:r w:rsidRPr="006722CA">
        <w:t>a</w:t>
      </w:r>
      <w:r w:rsidRPr="006722CA">
        <w:rPr>
          <w:b/>
        </w:rPr>
        <w:t xml:space="preserve"> Ley 51/2003, de 2 de diciembre, de igualdad de oportunidades, no discriminación y accesibilidad universal de las personas con discapacidad</w:t>
      </w:r>
      <w:r w:rsidRPr="007E1D3D">
        <w:t xml:space="preserve">, mantuvo igualmente dicho criterio, al modificar </w:t>
      </w:r>
      <w:smartTag w:uri="urn:schemas-microsoft-com:office:smarttags" w:element="PersonName">
        <w:smartTagPr>
          <w:attr w:name="ProductID" w:val="la Ley"/>
        </w:smartTagPr>
        <w:r w:rsidRPr="007E1D3D">
          <w:t>la Ley</w:t>
        </w:r>
      </w:smartTag>
      <w:r w:rsidRPr="007E1D3D">
        <w:t xml:space="preserve"> 49/1960, de Propiedad Horizontal, dando nueva redacción al artículo 10 de la misma, fijando la obligación de </w:t>
      </w:r>
      <w:smartTag w:uri="urn:schemas-microsoft-com:office:smarttags" w:element="PersonName">
        <w:smartTagPr>
          <w:attr w:name="ProductID" w:val="LA COMUNIDAD"/>
        </w:smartTagPr>
        <w:r w:rsidRPr="007E1D3D">
          <w:t>la Comunidad</w:t>
        </w:r>
      </w:smartTag>
      <w:r w:rsidRPr="007E1D3D">
        <w:t xml:space="preserve"> de Propietarios a salvar tales barreras arquitectónicas cuando quienes residan en las viviendas sean personas con discapacidad o mayores de 70 años.</w:t>
      </w:r>
    </w:p>
    <w:p w:rsidR="00114C10" w:rsidRPr="007E1D3D" w:rsidRDefault="00114C10" w:rsidP="00114C10">
      <w:pPr>
        <w:jc w:val="both"/>
      </w:pPr>
    </w:p>
    <w:p w:rsidR="00114C10" w:rsidRDefault="00114C10" w:rsidP="00114C10">
      <w:pPr>
        <w:jc w:val="both"/>
      </w:pPr>
      <w:r w:rsidRPr="007E1D3D">
        <w:t xml:space="preserve">Por tanto es claro, a la vista de </w:t>
      </w:r>
      <w:smartTag w:uri="urn:schemas-microsoft-com:office:smarttags" w:element="PersonName">
        <w:smartTagPr>
          <w:attr w:name="ProductID" w:val="la Legislaci￳n"/>
        </w:smartTagPr>
        <w:r w:rsidRPr="007E1D3D">
          <w:t>la Legislación</w:t>
        </w:r>
      </w:smartTag>
      <w:r w:rsidRPr="007E1D3D">
        <w:t>, así como de la jurisprudencia de los propios tribunales, que el concepto de accesibilidad que subyace en la intención de eliminar barreras arquitectónicas que dificultan el acceso y la movilidad, viene referido a las personas que tienen especiales dificultades para la satisfacción de sus necesidades normales, es decir tanto a las personas con minusvalía como a las personas que tengan más de setenta años.</w:t>
      </w:r>
    </w:p>
    <w:p w:rsidR="00EB2191" w:rsidRDefault="00EB2191" w:rsidP="00114C10">
      <w:pPr>
        <w:jc w:val="both"/>
      </w:pPr>
    </w:p>
    <w:p w:rsidR="001F75CB" w:rsidRDefault="00114C10" w:rsidP="001F75CB">
      <w:pPr>
        <w:jc w:val="both"/>
      </w:pPr>
      <w:r>
        <w:t>En este sentido, e</w:t>
      </w:r>
      <w:r w:rsidR="001F75CB" w:rsidRPr="00B427EF">
        <w:t>n</w:t>
      </w:r>
      <w:r w:rsidR="000152DB">
        <w:t xml:space="preserve"> </w:t>
      </w:r>
      <w:r w:rsidR="001F75CB" w:rsidRPr="00B427EF">
        <w:t>relación con las obras</w:t>
      </w:r>
      <w:r w:rsidR="003E4103">
        <w:t xml:space="preserve"> de mejora</w:t>
      </w:r>
      <w:r w:rsidR="001F75CB" w:rsidRPr="00B427EF">
        <w:t xml:space="preserve"> de</w:t>
      </w:r>
      <w:r w:rsidR="003E4103">
        <w:t xml:space="preserve"> la</w:t>
      </w:r>
      <w:r w:rsidR="001F75CB" w:rsidRPr="00B427EF">
        <w:t xml:space="preserve"> accesibilidad</w:t>
      </w:r>
      <w:r w:rsidR="001F75CB">
        <w:t xml:space="preserve"> </w:t>
      </w:r>
      <w:r w:rsidR="00831623">
        <w:t xml:space="preserve">consistentes en la </w:t>
      </w:r>
      <w:r w:rsidR="00341437">
        <w:t>instalación de un</w:t>
      </w:r>
      <w:r w:rsidR="00946AAD">
        <w:t>a silla</w:t>
      </w:r>
      <w:r w:rsidR="00BA4362">
        <w:t xml:space="preserve"> </w:t>
      </w:r>
      <w:r w:rsidR="00F43917">
        <w:t>salva</w:t>
      </w:r>
      <w:r w:rsidR="00A42530">
        <w:t xml:space="preserve"> </w:t>
      </w:r>
      <w:r w:rsidR="00F43917">
        <w:t>escaleras</w:t>
      </w:r>
      <w:r w:rsidR="00522170">
        <w:t xml:space="preserve"> en el inmueble</w:t>
      </w:r>
      <w:r w:rsidR="00032DEE">
        <w:t>,</w:t>
      </w:r>
      <w:r w:rsidR="007E1D3D">
        <w:t xml:space="preserve"> en</w:t>
      </w:r>
      <w:r w:rsidR="00293B2E">
        <w:t xml:space="preserve"> </w:t>
      </w:r>
      <w:r w:rsidR="003E4103">
        <w:t>el</w:t>
      </w:r>
      <w:r w:rsidR="007E1D3D">
        <w:t xml:space="preserve"> </w:t>
      </w:r>
      <w:r w:rsidR="00482FF1">
        <w:t>cual</w:t>
      </w:r>
      <w:r w:rsidR="007E1D3D">
        <w:t xml:space="preserve"> residen personas</w:t>
      </w:r>
      <w:r w:rsidR="00293B2E">
        <w:t xml:space="preserve"> mayores de 70 años o</w:t>
      </w:r>
      <w:r w:rsidR="006A70F1">
        <w:t xml:space="preserve"> con discapacidad</w:t>
      </w:r>
      <w:r w:rsidR="008A4B89">
        <w:t>,</w:t>
      </w:r>
      <w:r w:rsidR="001F75CB" w:rsidRPr="00B427EF">
        <w:t xml:space="preserve"> </w:t>
      </w:r>
      <w:r w:rsidR="001F75CB">
        <w:t>con el fin de</w:t>
      </w:r>
      <w:r w:rsidR="001F75CB" w:rsidRPr="00B427EF">
        <w:t xml:space="preserve"> eliminar barreras arquitectónicas, </w:t>
      </w:r>
      <w:r w:rsidR="001F75CB" w:rsidRPr="00B06BED">
        <w:rPr>
          <w:b/>
        </w:rPr>
        <w:t>la Ley 49,1960, de 21 de julio, sobre Propiedad Horizontal</w:t>
      </w:r>
      <w:r w:rsidR="001F75CB" w:rsidRPr="00B427EF">
        <w:t xml:space="preserve">, en su </w:t>
      </w:r>
      <w:r w:rsidR="001F75CB" w:rsidRPr="00B06BED">
        <w:rPr>
          <w:u w:val="single"/>
        </w:rPr>
        <w:t>artículo 10</w:t>
      </w:r>
      <w:r w:rsidR="001F75CB" w:rsidRPr="00B427EF">
        <w:t>,</w:t>
      </w:r>
      <w:r w:rsidR="00962348">
        <w:t xml:space="preserve"> </w:t>
      </w:r>
      <w:r w:rsidR="001F75CB" w:rsidRPr="00B427EF">
        <w:t>establece que:</w:t>
      </w:r>
    </w:p>
    <w:p w:rsidR="001F75CB" w:rsidRPr="00B427EF" w:rsidRDefault="001F75CB" w:rsidP="001F75CB">
      <w:pPr>
        <w:jc w:val="both"/>
      </w:pPr>
    </w:p>
    <w:p w:rsidR="001F75CB" w:rsidRPr="00701350" w:rsidRDefault="001F75CB" w:rsidP="001F75CB">
      <w:pPr>
        <w:jc w:val="both"/>
        <w:rPr>
          <w:i/>
        </w:rPr>
      </w:pPr>
      <w:r>
        <w:rPr>
          <w:i/>
        </w:rPr>
        <w:t>“</w:t>
      </w:r>
      <w:r w:rsidRPr="00701350">
        <w:rPr>
          <w:i/>
        </w:rPr>
        <w:t xml:space="preserve">1. </w:t>
      </w:r>
      <w:r w:rsidRPr="00701350">
        <w:rPr>
          <w:i/>
          <w:u w:val="single"/>
        </w:rPr>
        <w:t>Tendrán carácter obligatorio y no requerirán de acuerdo previo de la Junta de propietarios</w:t>
      </w:r>
      <w:r w:rsidRPr="00701350">
        <w:rPr>
          <w:i/>
        </w:rPr>
        <w:t>, impliquen o no modificación del título constitutivo o de los estatutos, y vengan impuestas por las Administraciones Públicas o solicitadas a instancia de los propietarios</w:t>
      </w:r>
      <w:r>
        <w:rPr>
          <w:i/>
        </w:rPr>
        <w:t xml:space="preserve">, </w:t>
      </w:r>
      <w:r w:rsidRPr="00EC44F8">
        <w:rPr>
          <w:i/>
          <w:u w:val="single"/>
        </w:rPr>
        <w:t>las siguientes actuaciones</w:t>
      </w:r>
      <w:r w:rsidRPr="00701350">
        <w:rPr>
          <w:i/>
        </w:rPr>
        <w:t xml:space="preserve">: </w:t>
      </w:r>
    </w:p>
    <w:p w:rsidR="001F75CB" w:rsidRPr="00701350" w:rsidRDefault="001F75CB" w:rsidP="001F75CB">
      <w:pPr>
        <w:jc w:val="both"/>
        <w:rPr>
          <w:i/>
        </w:rPr>
      </w:pPr>
    </w:p>
    <w:p w:rsidR="001F75CB" w:rsidRPr="00701350" w:rsidRDefault="001F75CB" w:rsidP="001F75CB">
      <w:pPr>
        <w:jc w:val="both"/>
        <w:rPr>
          <w:i/>
        </w:rPr>
      </w:pPr>
      <w:r w:rsidRPr="00701350">
        <w:rPr>
          <w:i/>
        </w:rPr>
        <w:t xml:space="preserve">a) Los trabajos y las obras que resulten necesarias para el adecuado mantenimiento y cumplimiento del deber de conservación del inmueble y de sus servicios e instalaciones comunes, incluyendo en todo caso, las necesarias para satisfacer los requisitos básicos de seguridad, habitabilidad y accesibilidad universal, así como las condiciones de ornato y cualesquiera otras derivadas de la imposición, por parte de la Administración, del deber legal de conservación. </w:t>
      </w:r>
    </w:p>
    <w:p w:rsidR="001F75CB" w:rsidRPr="00701350" w:rsidRDefault="001F75CB" w:rsidP="001F75CB">
      <w:pPr>
        <w:jc w:val="both"/>
        <w:rPr>
          <w:i/>
        </w:rPr>
      </w:pPr>
    </w:p>
    <w:p w:rsidR="001F75CB" w:rsidRPr="003B1E3F" w:rsidRDefault="001F75CB" w:rsidP="001F75CB">
      <w:pPr>
        <w:jc w:val="both"/>
        <w:rPr>
          <w:i/>
          <w:u w:val="single"/>
        </w:rPr>
      </w:pPr>
      <w:r w:rsidRPr="00701350">
        <w:rPr>
          <w:i/>
        </w:rPr>
        <w:t xml:space="preserve">b) </w:t>
      </w:r>
      <w:r w:rsidRPr="00FB7D6D">
        <w:rPr>
          <w:i/>
        </w:rPr>
        <w:t xml:space="preserve">Las obras y actuaciones que resulten necesarias para garantizar los ajustes razonables en materia de accesibilidad universal y, </w:t>
      </w:r>
      <w:r w:rsidRPr="00FB7D6D">
        <w:rPr>
          <w:b/>
          <w:i/>
        </w:rPr>
        <w:t>en todo caso</w:t>
      </w:r>
      <w:r w:rsidRPr="00FB7D6D">
        <w:rPr>
          <w:i/>
        </w:rPr>
        <w:t xml:space="preserve">, </w:t>
      </w:r>
      <w:r w:rsidRPr="00FB7D6D">
        <w:rPr>
          <w:i/>
          <w:u w:val="single"/>
        </w:rPr>
        <w:t xml:space="preserve">las requeridas a instancia de los propietarios en cuya vivienda o local vivan, trabajen o presten servicios voluntarios, </w:t>
      </w:r>
      <w:r w:rsidRPr="00324012">
        <w:rPr>
          <w:b/>
          <w:i/>
          <w:u w:val="single"/>
        </w:rPr>
        <w:t xml:space="preserve">personas con </w:t>
      </w:r>
      <w:r w:rsidRPr="00293B2E">
        <w:rPr>
          <w:b/>
          <w:i/>
          <w:u w:val="single"/>
        </w:rPr>
        <w:t>discapacidad o mayores de setenta años</w:t>
      </w:r>
      <w:r w:rsidRPr="00701350">
        <w:rPr>
          <w:i/>
        </w:rPr>
        <w:t xml:space="preserve">, con el objeto de asegurarles un uso adecuado a sus necesidades de los elementos comunes, así como la </w:t>
      </w:r>
      <w:r w:rsidRPr="0027508F">
        <w:rPr>
          <w:i/>
        </w:rPr>
        <w:t>instalación de rampas</w:t>
      </w:r>
      <w:r w:rsidRPr="00701350">
        <w:rPr>
          <w:i/>
        </w:rPr>
        <w:t xml:space="preserve">, ascensores u otros dispositivos mecánicos y electrónicos que favorezcan la orientación o su comunicación con el exterior, </w:t>
      </w:r>
      <w:r w:rsidRPr="00701350">
        <w:rPr>
          <w:b/>
          <w:i/>
        </w:rPr>
        <w:t xml:space="preserve">siempre que el importe repercutido anualmente de las mismas, </w:t>
      </w:r>
      <w:r w:rsidRPr="00EC44F8">
        <w:rPr>
          <w:i/>
        </w:rPr>
        <w:t>una vez descontadas las subvenciones o ayudas públicas,</w:t>
      </w:r>
      <w:r w:rsidRPr="00701350">
        <w:rPr>
          <w:b/>
          <w:i/>
        </w:rPr>
        <w:t xml:space="preserve"> no exceda de doce mensualidades ordinarias de gastos comunes.</w:t>
      </w:r>
      <w:r w:rsidRPr="00701350">
        <w:rPr>
          <w:i/>
        </w:rPr>
        <w:t xml:space="preserve"> </w:t>
      </w:r>
      <w:r w:rsidRPr="003B1E3F">
        <w:rPr>
          <w:i/>
          <w:u w:val="single"/>
        </w:rPr>
        <w:t>No eliminará el carácter obligatorio de estas obras el hecho de que el resto de su coste, más allá de las citadas mensualidades, sea asumido por quienes las hayan requerido”</w:t>
      </w:r>
      <w:r w:rsidRPr="003B1E3F">
        <w:rPr>
          <w:i/>
          <w:iCs/>
          <w:u w:val="single"/>
        </w:rPr>
        <w:t>.</w:t>
      </w:r>
    </w:p>
    <w:p w:rsidR="000152DB" w:rsidRDefault="000152DB" w:rsidP="001F75CB">
      <w:pPr>
        <w:jc w:val="both"/>
      </w:pPr>
    </w:p>
    <w:p w:rsidR="00D21953" w:rsidRDefault="001F75CB" w:rsidP="001F75CB">
      <w:pPr>
        <w:jc w:val="both"/>
      </w:pPr>
      <w:r w:rsidRPr="00181197">
        <w:t xml:space="preserve">Por tanto, si </w:t>
      </w:r>
      <w:r>
        <w:t xml:space="preserve">el </w:t>
      </w:r>
      <w:r w:rsidRPr="00181197">
        <w:t xml:space="preserve">propietario </w:t>
      </w:r>
      <w:r w:rsidR="00AE482E">
        <w:t>en</w:t>
      </w:r>
      <w:r w:rsidRPr="00181197">
        <w:t xml:space="preserve"> una comunidad de vecinos</w:t>
      </w:r>
      <w:r w:rsidR="0097455E">
        <w:t xml:space="preserve">, mayor de 70 años o con </w:t>
      </w:r>
      <w:r w:rsidR="00324012">
        <w:t>discapacidad</w:t>
      </w:r>
      <w:r w:rsidR="0097455E">
        <w:t>,</w:t>
      </w:r>
      <w:r w:rsidRPr="00181197">
        <w:t xml:space="preserve"> solicita</w:t>
      </w:r>
      <w:r>
        <w:t>ra</w:t>
      </w:r>
      <w:r w:rsidRPr="00181197">
        <w:t xml:space="preserve"> la realización de las obras </w:t>
      </w:r>
      <w:r>
        <w:t>de</w:t>
      </w:r>
      <w:r w:rsidR="00DC00AE">
        <w:t xml:space="preserve"> mejora de la</w:t>
      </w:r>
      <w:r>
        <w:t xml:space="preserve"> accesibilidad </w:t>
      </w:r>
      <w:r w:rsidRPr="00181197">
        <w:t xml:space="preserve">indicadas, estas </w:t>
      </w:r>
      <w:r w:rsidRPr="00DD2B3C">
        <w:rPr>
          <w:u w:val="single"/>
        </w:rPr>
        <w:t>deber</w:t>
      </w:r>
      <w:r>
        <w:rPr>
          <w:u w:val="single"/>
        </w:rPr>
        <w:t>ían</w:t>
      </w:r>
      <w:r w:rsidRPr="00DD2B3C">
        <w:rPr>
          <w:u w:val="single"/>
        </w:rPr>
        <w:t xml:space="preserve"> ser </w:t>
      </w:r>
      <w:r w:rsidRPr="00DD2B3C">
        <w:rPr>
          <w:u w:val="single"/>
        </w:rPr>
        <w:lastRenderedPageBreak/>
        <w:t>ejecutadas obligatoriamente</w:t>
      </w:r>
      <w:r w:rsidRPr="00181197">
        <w:t xml:space="preserve"> por la comunidad de propietarios </w:t>
      </w:r>
      <w:r w:rsidRPr="00DD2B3C">
        <w:rPr>
          <w:u w:val="single"/>
        </w:rPr>
        <w:t>sin necesidad de acuerdo previo de la Junta de propietarios</w:t>
      </w:r>
      <w:r>
        <w:t>, siempre que el</w:t>
      </w:r>
      <w:r w:rsidRPr="00181197">
        <w:t xml:space="preserve"> </w:t>
      </w:r>
      <w:r w:rsidRPr="003B1E3F">
        <w:rPr>
          <w:b/>
        </w:rPr>
        <w:t>importe</w:t>
      </w:r>
      <w:r w:rsidR="00A72E23">
        <w:rPr>
          <w:b/>
        </w:rPr>
        <w:t xml:space="preserve"> repercutido anualmente</w:t>
      </w:r>
      <w:r w:rsidRPr="003B1E3F">
        <w:rPr>
          <w:b/>
        </w:rPr>
        <w:t xml:space="preserve"> de las obras no excediera de doce mensualidades ordinarias de gastos comunes</w:t>
      </w:r>
      <w:r w:rsidRPr="00181197">
        <w:t>.</w:t>
      </w:r>
      <w:r>
        <w:t xml:space="preserve"> </w:t>
      </w:r>
    </w:p>
    <w:p w:rsidR="00D21953" w:rsidRDefault="00D21953" w:rsidP="001F75CB">
      <w:pPr>
        <w:jc w:val="both"/>
      </w:pPr>
    </w:p>
    <w:p w:rsidR="00CC1002" w:rsidRDefault="001F75CB" w:rsidP="001F75CB">
      <w:pPr>
        <w:jc w:val="both"/>
        <w:rPr>
          <w:rFonts w:cs="Arial"/>
        </w:rPr>
      </w:pPr>
      <w:r>
        <w:t>B</w:t>
      </w:r>
      <w:r w:rsidRPr="00712283">
        <w:rPr>
          <w:rFonts w:cs="Arial"/>
        </w:rPr>
        <w:t xml:space="preserve">astaría </w:t>
      </w:r>
      <w:r w:rsidR="00AE482E">
        <w:rPr>
          <w:rFonts w:cs="Arial"/>
        </w:rPr>
        <w:t xml:space="preserve">en nuestro caso concreto </w:t>
      </w:r>
      <w:r w:rsidRPr="00712283">
        <w:rPr>
          <w:rFonts w:cs="Arial"/>
        </w:rPr>
        <w:t>con que la persona</w:t>
      </w:r>
      <w:r w:rsidR="00482FF1">
        <w:rPr>
          <w:rFonts w:cs="Arial"/>
        </w:rPr>
        <w:t xml:space="preserve"> </w:t>
      </w:r>
      <w:r w:rsidR="00324012">
        <w:rPr>
          <w:rFonts w:cs="Arial"/>
        </w:rPr>
        <w:t xml:space="preserve">con discapacidad o </w:t>
      </w:r>
      <w:r w:rsidR="004947FC">
        <w:rPr>
          <w:rFonts w:cs="Arial"/>
        </w:rPr>
        <w:t>mayor de 70 años</w:t>
      </w:r>
      <w:r w:rsidRPr="00712283">
        <w:rPr>
          <w:rFonts w:cs="Arial"/>
        </w:rPr>
        <w:t xml:space="preserve"> presentara una solicitud al administrador de la finca, junto con el proyecto de las obras de accesibilidad. Dicho proyecto incluirá planos, presupuesto y las especificaciones necesaria</w:t>
      </w:r>
      <w:r w:rsidR="00CC1002">
        <w:rPr>
          <w:rFonts w:cs="Arial"/>
        </w:rPr>
        <w:t xml:space="preserve">s para poder ejecutar las obras, las cuales serán costeadas por todos los propietarios de la Comunidad, </w:t>
      </w:r>
      <w:r w:rsidR="00CC1002" w:rsidRPr="00153735">
        <w:rPr>
          <w:rFonts w:cs="Arial"/>
          <w:u w:val="single"/>
        </w:rPr>
        <w:t>limitándose el acuerdo de la Junta a la distribución de la derrama pertinente y a la determinación de los términos de su abono</w:t>
      </w:r>
      <w:r w:rsidR="00CC1002">
        <w:rPr>
          <w:rFonts w:cs="Arial"/>
        </w:rPr>
        <w:t xml:space="preserve">. </w:t>
      </w:r>
    </w:p>
    <w:p w:rsidR="003B1E3F" w:rsidRDefault="003B1E3F" w:rsidP="003B1E3F">
      <w:pPr>
        <w:jc w:val="both"/>
        <w:rPr>
          <w:b/>
          <w:i/>
        </w:rPr>
      </w:pPr>
    </w:p>
    <w:p w:rsidR="003B1E3F" w:rsidRDefault="003B1E3F" w:rsidP="003B1E3F">
      <w:pPr>
        <w:jc w:val="both"/>
        <w:rPr>
          <w:rFonts w:cs="Arial"/>
        </w:rPr>
      </w:pPr>
      <w:r>
        <w:rPr>
          <w:rFonts w:cs="Arial"/>
        </w:rPr>
        <w:t xml:space="preserve">Por otro lado, </w:t>
      </w:r>
      <w:r w:rsidRPr="003B1E3F">
        <w:rPr>
          <w:rFonts w:cs="Arial"/>
          <w:b/>
        </w:rPr>
        <w:t xml:space="preserve">si </w:t>
      </w:r>
      <w:r w:rsidR="00A72E23">
        <w:rPr>
          <w:rFonts w:cs="Arial"/>
          <w:b/>
        </w:rPr>
        <w:t>el importe repercutido anualmente</w:t>
      </w:r>
      <w:r w:rsidRPr="003B1E3F">
        <w:rPr>
          <w:rFonts w:cs="Arial"/>
          <w:b/>
        </w:rPr>
        <w:t xml:space="preserve"> </w:t>
      </w:r>
      <w:r w:rsidR="005C1046">
        <w:rPr>
          <w:rFonts w:cs="Arial"/>
          <w:b/>
        </w:rPr>
        <w:t xml:space="preserve">de las obras de </w:t>
      </w:r>
      <w:r w:rsidR="00A72E23">
        <w:rPr>
          <w:rFonts w:cs="Arial"/>
          <w:b/>
        </w:rPr>
        <w:t>accesibilidad excediera</w:t>
      </w:r>
      <w:r w:rsidRPr="003B1E3F">
        <w:rPr>
          <w:rFonts w:cs="Arial"/>
          <w:b/>
        </w:rPr>
        <w:t xml:space="preserve">  de doce mensualidades ordinarias de gastos comunes</w:t>
      </w:r>
      <w:r w:rsidRPr="00236BEF">
        <w:rPr>
          <w:rFonts w:cs="Arial"/>
        </w:rPr>
        <w:t>, una vez descontadas las subvenciones o ayudas públicas</w:t>
      </w:r>
      <w:r w:rsidRPr="009218D4">
        <w:rPr>
          <w:i/>
        </w:rPr>
        <w:t xml:space="preserve">, </w:t>
      </w:r>
      <w:r w:rsidRPr="009218D4">
        <w:rPr>
          <w:rFonts w:cs="Arial"/>
          <w:b/>
        </w:rPr>
        <w:t>y el coste diferencial fuera asumido por quienes las hayan requerido</w:t>
      </w:r>
      <w:r>
        <w:rPr>
          <w:rFonts w:cs="Arial"/>
        </w:rPr>
        <w:t xml:space="preserve">, </w:t>
      </w:r>
      <w:r w:rsidRPr="005744C4">
        <w:rPr>
          <w:rFonts w:cs="Arial"/>
          <w:u w:val="single"/>
        </w:rPr>
        <w:t xml:space="preserve">las obras tendrían </w:t>
      </w:r>
      <w:r w:rsidR="0097455E" w:rsidRPr="005744C4">
        <w:rPr>
          <w:rFonts w:cs="Arial"/>
          <w:u w:val="single"/>
        </w:rPr>
        <w:t xml:space="preserve">igualmente </w:t>
      </w:r>
      <w:r w:rsidRPr="005744C4">
        <w:rPr>
          <w:rFonts w:cs="Arial"/>
          <w:u w:val="single"/>
        </w:rPr>
        <w:t>carácter obligatorio</w:t>
      </w:r>
      <w:r w:rsidRPr="00674A22">
        <w:rPr>
          <w:rFonts w:cs="Arial"/>
        </w:rPr>
        <w:t>. Razón por la cual ser</w:t>
      </w:r>
      <w:r w:rsidR="005744C4">
        <w:rPr>
          <w:rFonts w:cs="Arial"/>
        </w:rPr>
        <w:t>ían</w:t>
      </w:r>
      <w:r w:rsidRPr="00674A22">
        <w:rPr>
          <w:rFonts w:cs="Arial"/>
        </w:rPr>
        <w:t xml:space="preserve"> de obligada ejecución por la Comunidad de Propietarios, sin necesidad de</w:t>
      </w:r>
      <w:r w:rsidR="005744C4">
        <w:rPr>
          <w:rFonts w:cs="Arial"/>
        </w:rPr>
        <w:t xml:space="preserve"> acuerdo previo de la Junta de Propietarios.</w:t>
      </w:r>
    </w:p>
    <w:p w:rsidR="003B1E3F" w:rsidRDefault="003B1E3F" w:rsidP="003B1E3F">
      <w:pPr>
        <w:jc w:val="both"/>
        <w:rPr>
          <w:rFonts w:cs="Arial"/>
        </w:rPr>
      </w:pPr>
    </w:p>
    <w:p w:rsidR="003B1E3F" w:rsidRDefault="005744C4" w:rsidP="003B1E3F">
      <w:pPr>
        <w:jc w:val="both"/>
        <w:rPr>
          <w:rFonts w:cs="Arial"/>
        </w:rPr>
      </w:pPr>
      <w:r>
        <w:rPr>
          <w:rFonts w:cs="Arial"/>
        </w:rPr>
        <w:t>Solo debería</w:t>
      </w:r>
      <w:r w:rsidR="003B1E3F">
        <w:rPr>
          <w:rFonts w:cs="Arial"/>
        </w:rPr>
        <w:t xml:space="preserve"> quedar reflejada en Acta de la </w:t>
      </w:r>
      <w:r w:rsidR="003B1E3F" w:rsidRPr="00674A22">
        <w:rPr>
          <w:rFonts w:cs="Arial"/>
        </w:rPr>
        <w:t>Junta General de la Comunidad de Propietarios</w:t>
      </w:r>
      <w:r w:rsidR="003B1E3F">
        <w:rPr>
          <w:rFonts w:cs="Arial"/>
        </w:rPr>
        <w:t xml:space="preserve">, legalmente constituida de acuerdo con lo establecido en </w:t>
      </w:r>
      <w:r w:rsidR="003B1E3F" w:rsidRPr="00C83911">
        <w:rPr>
          <w:rFonts w:cs="Arial"/>
        </w:rPr>
        <w:t xml:space="preserve">la Ley 49/1960, de 21 de julio, sobre Propiedad Horizontal  y sus actualizaciones, </w:t>
      </w:r>
      <w:r w:rsidR="003B1E3F" w:rsidRPr="00E4085E">
        <w:rPr>
          <w:rFonts w:cs="Arial"/>
          <w:u w:val="single"/>
        </w:rPr>
        <w:t>la fijación de las derramas de carácter obligatorio resultantes del prorrateo del coste a asumir por la Comunidad de Propietarios con el límite del importe</w:t>
      </w:r>
      <w:r w:rsidR="00A72E23" w:rsidRPr="00E4085E">
        <w:rPr>
          <w:rFonts w:cs="Arial"/>
          <w:u w:val="single"/>
        </w:rPr>
        <w:t xml:space="preserve"> repercutido anualmente</w:t>
      </w:r>
      <w:r w:rsidR="003B1E3F" w:rsidRPr="00E4085E">
        <w:rPr>
          <w:rFonts w:cs="Arial"/>
          <w:u w:val="single"/>
        </w:rPr>
        <w:t xml:space="preserve"> equivalente a doce mensualidades ordinarias de gastos comunes,</w:t>
      </w:r>
      <w:r w:rsidR="003B1E3F" w:rsidRPr="00236BEF">
        <w:rPr>
          <w:rFonts w:cs="Arial"/>
        </w:rPr>
        <w:t xml:space="preserve"> una vez descontadas las subvenciones o ayudas públicas</w:t>
      </w:r>
      <w:r w:rsidR="003B1E3F">
        <w:rPr>
          <w:rFonts w:cs="Arial"/>
        </w:rPr>
        <w:t xml:space="preserve"> para dar solución a los problemas de accesibilidad.</w:t>
      </w:r>
    </w:p>
    <w:p w:rsidR="007F3F48" w:rsidRDefault="007F3F48" w:rsidP="003B1E3F">
      <w:pPr>
        <w:jc w:val="both"/>
        <w:rPr>
          <w:rFonts w:cs="Arial"/>
        </w:rPr>
      </w:pPr>
    </w:p>
    <w:p w:rsidR="0054220E" w:rsidRDefault="00522170" w:rsidP="0054220E">
      <w:pPr>
        <w:jc w:val="both"/>
        <w:rPr>
          <w:b/>
        </w:rPr>
      </w:pPr>
      <w:r>
        <w:rPr>
          <w:rFonts w:cs="Arial"/>
        </w:rPr>
        <w:t>Es importante señalar que en el supuesto de que los</w:t>
      </w:r>
      <w:r w:rsidRPr="003B1E3F">
        <w:rPr>
          <w:rFonts w:cs="Arial"/>
          <w:b/>
        </w:rPr>
        <w:t xml:space="preserve"> costes de adecuación en materia de accesibilidad excedieran de doce mensualidades ordinarias de gastos comunes</w:t>
      </w:r>
      <w:r w:rsidRPr="00236BEF">
        <w:rPr>
          <w:rFonts w:cs="Arial"/>
        </w:rPr>
        <w:t>, una vez descontadas las subvenciones o ayudas públicas</w:t>
      </w:r>
      <w:r w:rsidRPr="009218D4">
        <w:rPr>
          <w:i/>
        </w:rPr>
        <w:t xml:space="preserve">, </w:t>
      </w:r>
      <w:r w:rsidRPr="009218D4">
        <w:rPr>
          <w:rFonts w:cs="Arial"/>
          <w:b/>
        </w:rPr>
        <w:t>y el coste diferencial no fuera</w:t>
      </w:r>
      <w:r w:rsidR="0054220E">
        <w:rPr>
          <w:rFonts w:cs="Arial"/>
          <w:b/>
        </w:rPr>
        <w:t xml:space="preserve"> a ser</w:t>
      </w:r>
      <w:r w:rsidRPr="009218D4">
        <w:rPr>
          <w:rFonts w:cs="Arial"/>
          <w:b/>
        </w:rPr>
        <w:t xml:space="preserve"> asumido por quienes las hubiesen requerido</w:t>
      </w:r>
      <w:r>
        <w:rPr>
          <w:rFonts w:cs="Arial"/>
          <w:b/>
        </w:rPr>
        <w:t>,</w:t>
      </w:r>
      <w:r w:rsidRPr="009218D4">
        <w:rPr>
          <w:b/>
        </w:rPr>
        <w:t xml:space="preserve"> </w:t>
      </w:r>
      <w:r w:rsidR="0054220E" w:rsidRPr="0054220E">
        <w:t>se podría acudir</w:t>
      </w:r>
      <w:r w:rsidR="00D83CA9">
        <w:t xml:space="preserve"> residualmente</w:t>
      </w:r>
      <w:r w:rsidR="0054220E" w:rsidRPr="0054220E">
        <w:t xml:space="preserve"> a la</w:t>
      </w:r>
      <w:r w:rsidR="0054220E" w:rsidRPr="0054220E">
        <w:rPr>
          <w:b/>
        </w:rPr>
        <w:t xml:space="preserve"> Ley 15/1995, de 30 de mayo, sobre límites del dominio sobre inmuebles, para eliminar barreras arquitectónicas a las personas con discapacidad.</w:t>
      </w:r>
    </w:p>
    <w:p w:rsidR="0054220E" w:rsidRDefault="0054220E" w:rsidP="0054220E">
      <w:pPr>
        <w:jc w:val="both"/>
        <w:rPr>
          <w:b/>
        </w:rPr>
      </w:pPr>
    </w:p>
    <w:p w:rsidR="0054220E" w:rsidRDefault="0054220E" w:rsidP="0054220E">
      <w:pPr>
        <w:jc w:val="both"/>
      </w:pPr>
      <w:r>
        <w:t>Dicha Ley establece</w:t>
      </w:r>
      <w:r w:rsidRPr="00B73857">
        <w:t xml:space="preserve"> en </w:t>
      </w:r>
      <w:r>
        <w:t>su</w:t>
      </w:r>
      <w:r w:rsidRPr="00B73857">
        <w:t xml:space="preserve"> artículo 4 y siguientes</w:t>
      </w:r>
      <w:r>
        <w:t>,</w:t>
      </w:r>
      <w:r w:rsidRPr="00B73857">
        <w:t xml:space="preserve"> el procedimiento a seguir para poder llevar a cabo obras de adecuación por causa de minusvalía, teniendo en cuenta que, este derecho recogido en esta ley, no sólo ampara a las personas con discapacidad sino también a las personas mayores de setenta años, y que los gastos que</w:t>
      </w:r>
      <w:r>
        <w:t xml:space="preserve"> se</w:t>
      </w:r>
      <w:r w:rsidRPr="00B73857">
        <w:t xml:space="preserve"> originen</w:t>
      </w:r>
      <w:r>
        <w:t xml:space="preserve"> con motivo de</w:t>
      </w:r>
      <w:r w:rsidRPr="00B73857">
        <w:t xml:space="preserve"> </w:t>
      </w:r>
      <w:r>
        <w:t>la realización de las</w:t>
      </w:r>
      <w:r w:rsidRPr="00B73857">
        <w:t xml:space="preserve"> obras de adecuación de la finca o de sus elementos comunes correrán</w:t>
      </w:r>
      <w:r>
        <w:t xml:space="preserve"> íntegramente</w:t>
      </w:r>
      <w:r w:rsidRPr="00B73857">
        <w:t xml:space="preserve"> a cargo del solicitante/es de las mismas.</w:t>
      </w:r>
    </w:p>
    <w:p w:rsidR="00B022D9" w:rsidRDefault="00B022D9" w:rsidP="00522170">
      <w:pPr>
        <w:jc w:val="both"/>
      </w:pPr>
    </w:p>
    <w:p w:rsidR="00522170" w:rsidRDefault="00522170" w:rsidP="00522170">
      <w:pPr>
        <w:jc w:val="both"/>
      </w:pPr>
      <w:r>
        <w:t>Que teniendo en cuenta todo lo anterior, si la Comunidad de Propietarios se negara a ejecutar dichas obras de accesibilidad, o se retrasa injustificadamente en la realización de las mismas, incumpliendo con ello la obligación establecida en el artículo 10.1 de la Ley 49/1960, de Propiedad Horizontal, podrá usted</w:t>
      </w:r>
      <w:r w:rsidRPr="001E4E12">
        <w:t xml:space="preserve"> dirigirse al Juez de Primera Instancia, correspondiente al domicilio de </w:t>
      </w:r>
      <w:smartTag w:uri="urn:schemas-microsoft-com:office:smarttags" w:element="PersonName">
        <w:smartTagPr>
          <w:attr w:name="ProductID" w:val="LA COMUNIDAD"/>
        </w:smartTagPr>
        <w:r w:rsidRPr="001E4E12">
          <w:t>la Comunidad</w:t>
        </w:r>
      </w:smartTag>
      <w:r w:rsidRPr="001E4E12">
        <w:t xml:space="preserve"> de Propietarios, para exigir</w:t>
      </w:r>
      <w:r>
        <w:t xml:space="preserve"> </w:t>
      </w:r>
      <w:r w:rsidRPr="001E4E12">
        <w:t xml:space="preserve">que se obligue a la </w:t>
      </w:r>
      <w:r>
        <w:t xml:space="preserve">Comunidad de Propietarios </w:t>
      </w:r>
      <w:r w:rsidRPr="001E4E12">
        <w:t xml:space="preserve">a </w:t>
      </w:r>
      <w:r>
        <w:t>ejecutar dichas obras de mejora de la accesibilidad referidas en el inmueble donde reside,</w:t>
      </w:r>
      <w:r w:rsidRPr="00BD4C57">
        <w:t xml:space="preserve"> </w:t>
      </w:r>
      <w:r w:rsidRPr="00824F75">
        <w:t xml:space="preserve">con el </w:t>
      </w:r>
      <w:r>
        <w:t>fin de</w:t>
      </w:r>
      <w:r w:rsidRPr="00824F75">
        <w:t xml:space="preserve"> asegurar un uso adecuado</w:t>
      </w:r>
      <w:r>
        <w:t xml:space="preserve"> de los elementos comunes</w:t>
      </w:r>
      <w:r w:rsidRPr="00824F75">
        <w:t xml:space="preserve"> a </w:t>
      </w:r>
      <w:r>
        <w:t>las necesidades de personas con discapacidad o mayores de 70 años, así como</w:t>
      </w:r>
      <w:r w:rsidRPr="00824F75">
        <w:t xml:space="preserve"> favore</w:t>
      </w:r>
      <w:r>
        <w:t>cer</w:t>
      </w:r>
      <w:r w:rsidRPr="00824F75">
        <w:t xml:space="preserve"> la orientación o su comunicación con el exterior</w:t>
      </w:r>
      <w:r>
        <w:t>.</w:t>
      </w:r>
    </w:p>
    <w:p w:rsidR="004257FB" w:rsidRDefault="004257FB" w:rsidP="00522170">
      <w:pPr>
        <w:jc w:val="both"/>
      </w:pPr>
    </w:p>
    <w:p w:rsidR="004257FB" w:rsidRPr="00A42530" w:rsidRDefault="004257FB" w:rsidP="00A42530">
      <w:pPr>
        <w:jc w:val="center"/>
        <w:rPr>
          <w:b/>
        </w:rPr>
      </w:pPr>
      <w:r w:rsidRPr="00A42530">
        <w:rPr>
          <w:b/>
        </w:rPr>
        <w:t>CONSIDERACIONES TÉCNICAS</w:t>
      </w:r>
    </w:p>
    <w:p w:rsidR="004257FB" w:rsidRDefault="004257FB" w:rsidP="00522170">
      <w:pPr>
        <w:jc w:val="both"/>
      </w:pPr>
    </w:p>
    <w:p w:rsidR="004257FB" w:rsidRPr="00CF3519" w:rsidRDefault="004257FB" w:rsidP="00522170">
      <w:pPr>
        <w:jc w:val="both"/>
        <w:rPr>
          <w:color w:val="FF0000"/>
        </w:rPr>
      </w:pPr>
    </w:p>
    <w:p w:rsidR="004257FB" w:rsidRDefault="004257FB" w:rsidP="00A42530">
      <w:pPr>
        <w:jc w:val="both"/>
      </w:pPr>
      <w:r w:rsidRPr="00293FFA">
        <w:t xml:space="preserve">Las sillas salva escaleras, en principio resultan desaconsejables, y en la actualidad no se admiten como soluciones accesibles, al no permitir al usuario de silla de ruedas su uso autónomo permaneciendo sentado en su silla y necesitar de terceras personas para la utilización de la </w:t>
      </w:r>
      <w:r w:rsidRPr="00293FFA">
        <w:lastRenderedPageBreak/>
        <w:t xml:space="preserve">misma para realizar la transferencia. Este dispositivo sólo se suele recomendar para uso doméstico (viviendas unifamiliares). </w:t>
      </w:r>
    </w:p>
    <w:p w:rsidR="00A42530" w:rsidRPr="00293FFA" w:rsidRDefault="00A42530" w:rsidP="00A42530">
      <w:pPr>
        <w:jc w:val="both"/>
      </w:pPr>
    </w:p>
    <w:p w:rsidR="00A42530" w:rsidRDefault="004257FB" w:rsidP="00A42530">
      <w:pPr>
        <w:jc w:val="both"/>
      </w:pPr>
      <w:r w:rsidRPr="00293FFA">
        <w:t>Este tipo de ayuda técnica no está pensada para los usuarios de sillas de ruedas, sino para aquellas personas que aunque son capaces de caminar, lo hacen con dificultad o fatiga.</w:t>
      </w:r>
      <w:r w:rsidRPr="00293FFA">
        <w:br/>
        <w:t>En este caso, en lugar de una plataforma, lo que se acopla a la guía es un asiento con sus correspondientes elementos de seguridad. Normalmente están equipados con respaldo, reposabrazos, reposapiés abatible y cinturón de seguridad. Es recomendable que el asiento sea giratorio, para facilitar el embarque y el desembarque.</w:t>
      </w:r>
    </w:p>
    <w:p w:rsidR="004257FB" w:rsidRPr="00293FFA" w:rsidRDefault="004257FB" w:rsidP="00A42530">
      <w:pPr>
        <w:jc w:val="both"/>
      </w:pPr>
      <w:r w:rsidRPr="00293FFA">
        <w:t xml:space="preserve"> </w:t>
      </w:r>
    </w:p>
    <w:p w:rsidR="004257FB" w:rsidRPr="00293FFA" w:rsidRDefault="004257FB" w:rsidP="00A42530">
      <w:pPr>
        <w:jc w:val="both"/>
      </w:pPr>
      <w:r w:rsidRPr="00293FFA">
        <w:t xml:space="preserve">            No obstante lo anterior, </w:t>
      </w:r>
      <w:r w:rsidRPr="00A42530">
        <w:t>aun</w:t>
      </w:r>
      <w:r w:rsidRPr="00293FFA">
        <w:t xml:space="preserve"> no siendo una solución autónoma, se podría valorar en el inmueble objeto del presente informe</w:t>
      </w:r>
      <w:r w:rsidRPr="00A42530">
        <w:t xml:space="preserve"> </w:t>
      </w:r>
      <w:r w:rsidRPr="00293FFA">
        <w:t xml:space="preserve">como una opción, si su implantación sirviese de ayuda y supusiera una mejora de las condiciones de accesibilidad de la vivienda en relación con la situación actual. </w:t>
      </w:r>
    </w:p>
    <w:p w:rsidR="00962348" w:rsidRDefault="004257FB" w:rsidP="004257FB">
      <w:pPr>
        <w:spacing w:after="200" w:line="276" w:lineRule="auto"/>
        <w:rPr>
          <w:rFonts w:cs="Arial"/>
          <w:b/>
        </w:rPr>
      </w:pPr>
      <w:r w:rsidRPr="00293FFA">
        <w:rPr>
          <w:rFonts w:ascii="Calibri" w:hAnsi="Calibri"/>
          <w:sz w:val="22"/>
          <w:szCs w:val="22"/>
        </w:rPr>
        <w:t> </w:t>
      </w:r>
    </w:p>
    <w:p w:rsidR="00962348" w:rsidRDefault="00962348" w:rsidP="003B1E3F">
      <w:pPr>
        <w:jc w:val="center"/>
        <w:rPr>
          <w:rFonts w:cs="Arial"/>
          <w:b/>
        </w:rPr>
      </w:pPr>
    </w:p>
    <w:p w:rsidR="003B1E3F" w:rsidRDefault="003B1E3F" w:rsidP="003B1E3F">
      <w:pPr>
        <w:jc w:val="center"/>
        <w:rPr>
          <w:rFonts w:cs="Arial"/>
          <w:b/>
        </w:rPr>
      </w:pPr>
      <w:r w:rsidRPr="003B0F47">
        <w:rPr>
          <w:rFonts w:cs="Arial"/>
          <w:b/>
        </w:rPr>
        <w:t>CONCLUSIONES</w:t>
      </w:r>
    </w:p>
    <w:p w:rsidR="00835F3F" w:rsidRDefault="00835F3F" w:rsidP="003B1E3F">
      <w:pPr>
        <w:jc w:val="center"/>
        <w:rPr>
          <w:rFonts w:cs="Arial"/>
          <w:b/>
        </w:rPr>
      </w:pPr>
    </w:p>
    <w:p w:rsidR="003B1E3F" w:rsidRPr="00712283" w:rsidRDefault="003B1E3F" w:rsidP="001F75CB">
      <w:pPr>
        <w:jc w:val="both"/>
        <w:rPr>
          <w:rFonts w:cs="Arial"/>
        </w:rPr>
      </w:pPr>
    </w:p>
    <w:p w:rsidR="001F75CB" w:rsidRDefault="001F75CB" w:rsidP="001F75CB">
      <w:r w:rsidRPr="005C3F8F">
        <w:t>De todo lo considerado en el cuerpo del presente informe cabe concluir:</w:t>
      </w:r>
    </w:p>
    <w:p w:rsidR="00835F3F" w:rsidRDefault="00835F3F" w:rsidP="001F75CB"/>
    <w:p w:rsidR="001F75CB" w:rsidRPr="005C3F8F" w:rsidRDefault="001F75CB" w:rsidP="001F75CB"/>
    <w:p w:rsidR="00412873" w:rsidRDefault="001F75CB" w:rsidP="00412873">
      <w:pPr>
        <w:numPr>
          <w:ilvl w:val="0"/>
          <w:numId w:val="18"/>
        </w:numPr>
        <w:spacing w:after="200" w:line="276" w:lineRule="auto"/>
        <w:jc w:val="both"/>
      </w:pPr>
      <w:r w:rsidRPr="009C61EB">
        <w:rPr>
          <w:rFonts w:cs="Arial"/>
        </w:rPr>
        <w:t>La obligación de la Comunidad de Propietarios del cumplimiento de la legislación vigente en materia de Promoción de la Accesibilidad y Supresión de Barreras, tanto estatal como autonómica</w:t>
      </w:r>
      <w:r w:rsidR="00A6616E">
        <w:t>.</w:t>
      </w:r>
    </w:p>
    <w:p w:rsidR="001F75CB" w:rsidRPr="00310FDD" w:rsidRDefault="001F75CB" w:rsidP="001F75CB">
      <w:pPr>
        <w:numPr>
          <w:ilvl w:val="0"/>
          <w:numId w:val="18"/>
        </w:numPr>
        <w:jc w:val="both"/>
      </w:pPr>
      <w:r>
        <w:t>La</w:t>
      </w:r>
      <w:r w:rsidRPr="00181197">
        <w:t xml:space="preserve"> </w:t>
      </w:r>
      <w:r w:rsidRPr="00412873">
        <w:rPr>
          <w:rFonts w:cs="Arial"/>
        </w:rPr>
        <w:t xml:space="preserve">Comunidad de Propietarios del inmueble objeto del presente informe </w:t>
      </w:r>
      <w:r>
        <w:t>se encuentra obligada a</w:t>
      </w:r>
      <w:r w:rsidRPr="00181197">
        <w:t xml:space="preserve"> la realización de las obras </w:t>
      </w:r>
      <w:r>
        <w:t xml:space="preserve">de </w:t>
      </w:r>
      <w:r w:rsidR="00CE459F">
        <w:t xml:space="preserve">mejora de la </w:t>
      </w:r>
      <w:r w:rsidRPr="00310FDD">
        <w:t>accesibilidad</w:t>
      </w:r>
      <w:r w:rsidR="00CE459F">
        <w:t xml:space="preserve"> del inmueble,</w:t>
      </w:r>
      <w:r>
        <w:t xml:space="preserve"> </w:t>
      </w:r>
      <w:r w:rsidR="00CE459F">
        <w:t xml:space="preserve">requeridas a instancia de los propietarios que reúnan los requisitos establecidos en el apartado 1.b) del </w:t>
      </w:r>
      <w:proofErr w:type="spellStart"/>
      <w:r w:rsidR="00CE459F">
        <w:t>Articulo</w:t>
      </w:r>
      <w:proofErr w:type="spellEnd"/>
      <w:r w:rsidR="00CE459F">
        <w:t xml:space="preserve"> 10 de la Ley 49/1960, de Propiedad Horizontal</w:t>
      </w:r>
      <w:r w:rsidR="00CE459F" w:rsidRPr="005763FF">
        <w:t xml:space="preserve">, </w:t>
      </w:r>
      <w:r w:rsidR="008A4B89" w:rsidRPr="005763FF">
        <w:t>consistentes</w:t>
      </w:r>
      <w:r w:rsidR="008A4B89">
        <w:t xml:space="preserve"> en la </w:t>
      </w:r>
      <w:r w:rsidR="00341437">
        <w:t xml:space="preserve">instalación de </w:t>
      </w:r>
      <w:r w:rsidR="00153735">
        <w:t>un</w:t>
      </w:r>
      <w:r w:rsidR="00946AAD">
        <w:t>a silla</w:t>
      </w:r>
      <w:r w:rsidR="00153735">
        <w:t xml:space="preserve"> </w:t>
      </w:r>
      <w:r w:rsidR="00F43917">
        <w:t>salva</w:t>
      </w:r>
      <w:r w:rsidR="00A42530">
        <w:t xml:space="preserve"> </w:t>
      </w:r>
      <w:r w:rsidR="00F43917">
        <w:t>escaleras</w:t>
      </w:r>
      <w:r w:rsidR="00032DEE">
        <w:t>,</w:t>
      </w:r>
      <w:r>
        <w:t xml:space="preserve"> </w:t>
      </w:r>
      <w:r w:rsidR="00614902">
        <w:t xml:space="preserve">con el fin de </w:t>
      </w:r>
      <w:r>
        <w:t>eliminar</w:t>
      </w:r>
      <w:r w:rsidRPr="00310FDD">
        <w:t xml:space="preserve"> barreras arquitectónicas</w:t>
      </w:r>
      <w:r w:rsidRPr="00181197">
        <w:t xml:space="preserve">, </w:t>
      </w:r>
      <w:r w:rsidRPr="00A97803">
        <w:t>sin necesidad de acuerdo previo de la Junta de propietarios</w:t>
      </w:r>
      <w:r>
        <w:t xml:space="preserve">, </w:t>
      </w:r>
      <w:r w:rsidR="00CE459F" w:rsidRPr="004F4D31">
        <w:t xml:space="preserve">siempre que el importe repercutido anualmente de las </w:t>
      </w:r>
      <w:r w:rsidR="00507A0E" w:rsidRPr="004F4D31">
        <w:t>obras de mejora de la accesibilidad</w:t>
      </w:r>
      <w:r w:rsidR="00CE459F" w:rsidRPr="004F4D31">
        <w:t>, una vez descontadas las subvenciones o ayudas públicas, no exceda de doce mensualidades ordinarias de gastos comunes</w:t>
      </w:r>
      <w:r w:rsidR="00E74D7F">
        <w:t>.</w:t>
      </w:r>
    </w:p>
    <w:p w:rsidR="001F75CB" w:rsidRDefault="001F75CB" w:rsidP="001F75CB">
      <w:pPr>
        <w:tabs>
          <w:tab w:val="num" w:pos="360"/>
        </w:tabs>
        <w:ind w:left="360" w:hanging="360"/>
        <w:jc w:val="both"/>
        <w:rPr>
          <w:rFonts w:cs="Arial"/>
        </w:rPr>
      </w:pPr>
    </w:p>
    <w:p w:rsidR="00F81927" w:rsidRDefault="001F75CB" w:rsidP="00F81927">
      <w:pPr>
        <w:numPr>
          <w:ilvl w:val="0"/>
          <w:numId w:val="18"/>
        </w:numPr>
        <w:jc w:val="both"/>
      </w:pPr>
      <w:r w:rsidRPr="00A97803">
        <w:t>Para el caso de que el</w:t>
      </w:r>
      <w:r w:rsidR="00E74D7F">
        <w:t xml:space="preserve"> </w:t>
      </w:r>
      <w:r w:rsidR="005763FF" w:rsidRPr="00E74D7F">
        <w:t>importe repercutido anualmente</w:t>
      </w:r>
      <w:r w:rsidRPr="00A97803">
        <w:t xml:space="preserve"> de las </w:t>
      </w:r>
      <w:r w:rsidR="005763FF" w:rsidRPr="00181197">
        <w:t xml:space="preserve">obras </w:t>
      </w:r>
      <w:r w:rsidR="005763FF">
        <w:t xml:space="preserve">de mejora de la </w:t>
      </w:r>
      <w:r w:rsidR="005763FF" w:rsidRPr="00310FDD">
        <w:t>accesibilidad</w:t>
      </w:r>
      <w:r w:rsidR="005763FF">
        <w:t xml:space="preserve"> </w:t>
      </w:r>
      <w:r>
        <w:t>referidas para eliminar</w:t>
      </w:r>
      <w:r w:rsidRPr="00310FDD">
        <w:t xml:space="preserve"> barreras arquitectónicas</w:t>
      </w:r>
      <w:r w:rsidRPr="00A97803">
        <w:t xml:space="preserve"> sea superior a las doce mensualidades ordinarias de gastos comunes</w:t>
      </w:r>
      <w:r w:rsidR="002E4A56">
        <w:t>,</w:t>
      </w:r>
      <w:r w:rsidR="00507A0E">
        <w:t xml:space="preserve"> </w:t>
      </w:r>
      <w:r w:rsidRPr="00A97803">
        <w:t>la</w:t>
      </w:r>
      <w:r w:rsidR="00507A0E">
        <w:t xml:space="preserve"> </w:t>
      </w:r>
      <w:r w:rsidRPr="00A97803">
        <w:t xml:space="preserve">Comunidad de Propietarios vendrá también obligada a la realización de </w:t>
      </w:r>
      <w:r w:rsidR="008A4B89">
        <w:t>dichas</w:t>
      </w:r>
      <w:r w:rsidRPr="00A97803">
        <w:t xml:space="preserve"> obras y a costearlas </w:t>
      </w:r>
      <w:r>
        <w:t xml:space="preserve">hasta el importe máximo </w:t>
      </w:r>
      <w:r w:rsidR="00CA6693">
        <w:t xml:space="preserve">anual </w:t>
      </w:r>
      <w:r w:rsidRPr="00181197">
        <w:t>de</w:t>
      </w:r>
      <w:r>
        <w:t xml:space="preserve"> doce mensualidades ordinarias de gastos comunes,</w:t>
      </w:r>
      <w:r w:rsidRPr="00F81927">
        <w:rPr>
          <w:rFonts w:cs="Arial"/>
        </w:rPr>
        <w:t xml:space="preserve"> descontadas las subvenciones o ayudas públicas para dar solución a los problemas de accesibilidad, siempre y cuando </w:t>
      </w:r>
      <w:r w:rsidRPr="00C83911">
        <w:t>el</w:t>
      </w:r>
      <w:r w:rsidRPr="00F81927">
        <w:rPr>
          <w:b/>
          <w:i/>
        </w:rPr>
        <w:t xml:space="preserve"> </w:t>
      </w:r>
      <w:r w:rsidRPr="005C3F8F">
        <w:t xml:space="preserve">resto de su coste, más allá de las citadas </w:t>
      </w:r>
      <w:r w:rsidR="008A4B89">
        <w:t xml:space="preserve">doce </w:t>
      </w:r>
      <w:r w:rsidRPr="005C3F8F">
        <w:t>mensualidades, sea asumido por quienes las hayan requerido</w:t>
      </w:r>
      <w:r>
        <w:t>.</w:t>
      </w:r>
    </w:p>
    <w:p w:rsidR="00FB7D6D" w:rsidRDefault="00FB7D6D" w:rsidP="00FB7D6D">
      <w:pPr>
        <w:pStyle w:val="Prrafodelista"/>
      </w:pPr>
    </w:p>
    <w:p w:rsidR="00FB7D6D" w:rsidRPr="00507A0E" w:rsidRDefault="00FB7D6D" w:rsidP="00FB7D6D">
      <w:pPr>
        <w:numPr>
          <w:ilvl w:val="0"/>
          <w:numId w:val="18"/>
        </w:numPr>
        <w:jc w:val="both"/>
      </w:pPr>
      <w:r w:rsidRPr="00507A0E">
        <w:t>Que teniendo en cuenta todo lo anterior, si la Comunidad de Propietarios se negara a ejecutar dichas obras de accesibilidad, o se retrasa</w:t>
      </w:r>
      <w:r w:rsidR="002E4A56" w:rsidRPr="00507A0E">
        <w:t>ra</w:t>
      </w:r>
      <w:r w:rsidRPr="00507A0E">
        <w:t xml:space="preserve"> injustificadamente en la realización de las mismas, incumpliendo con ello la obligación establecida en el artículo 10.1 de la Ley 49/1960, de Propiedad Horizontal, podr</w:t>
      </w:r>
      <w:r w:rsidR="002E4A56" w:rsidRPr="00507A0E">
        <w:t xml:space="preserve">ía </w:t>
      </w:r>
      <w:r w:rsidRPr="00507A0E">
        <w:t xml:space="preserve">usted dirigirse al Juez de Primera Instancia, correspondiente al domicilio de </w:t>
      </w:r>
      <w:smartTag w:uri="urn:schemas-microsoft-com:office:smarttags" w:element="PersonName">
        <w:smartTagPr>
          <w:attr w:name="ProductID" w:val="LA COMUNIDAD"/>
        </w:smartTagPr>
        <w:r w:rsidRPr="00507A0E">
          <w:t>la Comunidad</w:t>
        </w:r>
      </w:smartTag>
      <w:r w:rsidRPr="00507A0E">
        <w:t xml:space="preserve"> de Propietarios, para exigir que se obligue a la Comunidad de Propietarios a ejecutar dichas obras de accesibilidad</w:t>
      </w:r>
      <w:r w:rsidR="007A5768" w:rsidRPr="00507A0E">
        <w:t xml:space="preserve"> </w:t>
      </w:r>
      <w:r w:rsidRPr="00507A0E">
        <w:t>con el fin de asegurar un uso adecuado de los elementos comunes a las necesidades de personas con discapacidad o mayores de 70 años, así como favorecer la orientación o su comunicación con el exterior.</w:t>
      </w:r>
    </w:p>
    <w:p w:rsidR="00FB7D6D" w:rsidRPr="00522170" w:rsidRDefault="00FB7D6D" w:rsidP="007A5768">
      <w:pPr>
        <w:ind w:left="360"/>
        <w:jc w:val="both"/>
        <w:rPr>
          <w:color w:val="FF0000"/>
        </w:rPr>
      </w:pPr>
    </w:p>
    <w:p w:rsidR="00032DEE" w:rsidRDefault="001F75CB" w:rsidP="00032DEE">
      <w:pPr>
        <w:numPr>
          <w:ilvl w:val="0"/>
          <w:numId w:val="18"/>
        </w:numPr>
        <w:jc w:val="both"/>
      </w:pPr>
      <w:r>
        <w:lastRenderedPageBreak/>
        <w:t>Que con independencia de lo anterior, cabe significar que</w:t>
      </w:r>
      <w:r w:rsidR="005763FF">
        <w:t xml:space="preserve">, en su caso, </w:t>
      </w:r>
      <w:r w:rsidR="001319C3">
        <w:t>y siempre que se esté ante los supuestos establecidos en la legislación vigente en materia de accesibilidad,</w:t>
      </w:r>
      <w:r>
        <w:t xml:space="preserve"> el Órgano competente para la iniciación del procedimiento sancionador, tal y como establece el Art.12.1. del Decreto 71/1999</w:t>
      </w:r>
      <w:r w:rsidR="00412873">
        <w:t>,</w:t>
      </w:r>
      <w:r>
        <w:t xml:space="preserve"> de 20 de mayo</w:t>
      </w:r>
      <w:r w:rsidR="00412873">
        <w:t>,</w:t>
      </w:r>
      <w:r>
        <w:t xml:space="preserve"> Reglamento de desarrollo del Régimen Sancionador en Materia de </w:t>
      </w:r>
      <w:r w:rsidRPr="00C83911">
        <w:t>Promoción de la Accesibilidad y Supresión de Barreras</w:t>
      </w:r>
      <w:r>
        <w:t xml:space="preserve">, es la Administración Local en cuyo territorio hubieran tenido lugar las acciones u omisiones constitutivas de la oportuna infracción. En el caso de la </w:t>
      </w:r>
      <w:r w:rsidR="008A4B89">
        <w:t>consulta</w:t>
      </w:r>
      <w:r>
        <w:t xml:space="preserve"> que motiva el presente informe la Administración Local competente es el Ayuntamiento de </w:t>
      </w:r>
      <w:r w:rsidR="004F4D31">
        <w:t>Madrid</w:t>
      </w:r>
      <w:r w:rsidR="00412873">
        <w:t>.</w:t>
      </w:r>
    </w:p>
    <w:p w:rsidR="00835F3F" w:rsidRDefault="00835F3F" w:rsidP="00835F3F">
      <w:pPr>
        <w:pStyle w:val="Prrafodelista"/>
      </w:pPr>
    </w:p>
    <w:p w:rsidR="00835F3F" w:rsidRDefault="00835F3F" w:rsidP="001F75CB">
      <w:pPr>
        <w:jc w:val="both"/>
      </w:pPr>
    </w:p>
    <w:p w:rsidR="00053072" w:rsidRDefault="00053072" w:rsidP="001F75CB">
      <w:pPr>
        <w:jc w:val="both"/>
      </w:pPr>
    </w:p>
    <w:p w:rsidR="00053072" w:rsidRDefault="00053072" w:rsidP="001F75CB">
      <w:pPr>
        <w:jc w:val="both"/>
      </w:pPr>
    </w:p>
    <w:p w:rsidR="00153735" w:rsidRDefault="00153735" w:rsidP="001F75CB">
      <w:pPr>
        <w:jc w:val="center"/>
        <w:rPr>
          <w:rFonts w:cs="Arial"/>
        </w:rPr>
      </w:pPr>
    </w:p>
    <w:p w:rsidR="00D83CA9" w:rsidRDefault="00D83CA9" w:rsidP="001F75CB">
      <w:pPr>
        <w:jc w:val="center"/>
        <w:rPr>
          <w:rFonts w:cs="Arial"/>
        </w:rPr>
      </w:pPr>
    </w:p>
    <w:sectPr w:rsidR="00D83CA9" w:rsidSect="004507A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336" w:right="1701" w:bottom="125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16" w:rsidRDefault="00D14316">
      <w:r>
        <w:separator/>
      </w:r>
    </w:p>
  </w:endnote>
  <w:endnote w:type="continuationSeparator" w:id="0">
    <w:p w:rsidR="00D14316" w:rsidRDefault="00D1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lack-Semi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FC" w:rsidRDefault="004947FC" w:rsidP="00DB75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47FC" w:rsidRDefault="004947FC" w:rsidP="004507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FC" w:rsidRDefault="004947F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3B34">
      <w:rPr>
        <w:noProof/>
      </w:rPr>
      <w:t>4</w:t>
    </w:r>
    <w:r>
      <w:fldChar w:fldCharType="end"/>
    </w:r>
  </w:p>
  <w:p w:rsidR="004947FC" w:rsidRDefault="004947FC" w:rsidP="002D40C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16" w:rsidRDefault="00D14316">
      <w:r>
        <w:separator/>
      </w:r>
    </w:p>
  </w:footnote>
  <w:footnote w:type="continuationSeparator" w:id="0">
    <w:p w:rsidR="00D14316" w:rsidRDefault="00D1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FC" w:rsidRDefault="004947FC">
    <w:pPr>
      <w:pStyle w:val="Encabezado"/>
    </w:pPr>
  </w:p>
  <w:tbl>
    <w:tblPr>
      <w:tblW w:w="9405" w:type="dxa"/>
      <w:tblLayout w:type="fixed"/>
      <w:tblLook w:val="04A0" w:firstRow="1" w:lastRow="0" w:firstColumn="1" w:lastColumn="0" w:noHBand="0" w:noVBand="1"/>
    </w:tblPr>
    <w:tblGrid>
      <w:gridCol w:w="648"/>
      <w:gridCol w:w="8757"/>
    </w:tblGrid>
    <w:tr w:rsidR="00200FF2" w:rsidRPr="00C652B0" w:rsidTr="00EB19F5">
      <w:trPr>
        <w:trHeight w:val="723"/>
      </w:trPr>
      <w:tc>
        <w:tcPr>
          <w:tcW w:w="648" w:type="dxa"/>
        </w:tcPr>
        <w:p w:rsidR="00200FF2" w:rsidRPr="00C652B0" w:rsidRDefault="005319B2" w:rsidP="00EB19F5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33375" cy="323850"/>
                <wp:effectExtent l="0" t="0" r="9525" b="0"/>
                <wp:wrapNone/>
                <wp:docPr id="2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57" w:type="dxa"/>
          <w:noWrap/>
        </w:tcPr>
        <w:p w:rsidR="00200FF2" w:rsidRPr="000B354D" w:rsidRDefault="00200FF2" w:rsidP="00EB19F5">
          <w:pPr>
            <w:spacing w:before="40"/>
            <w:rPr>
              <w:noProof/>
              <w:sz w:val="28"/>
              <w:szCs w:val="28"/>
            </w:rPr>
          </w:pPr>
        </w:p>
        <w:p w:rsidR="00200FF2" w:rsidRDefault="00200FF2" w:rsidP="00EB19F5">
          <w:pPr>
            <w:spacing w:before="40"/>
            <w:rPr>
              <w:rFonts w:ascii="Helvetica" w:hAnsi="Helvetica"/>
              <w:color w:val="808080"/>
              <w:sz w:val="13"/>
              <w:szCs w:val="13"/>
            </w:rPr>
          </w:pPr>
          <w:r>
            <w:rPr>
              <w:rFonts w:ascii="Helvetica" w:hAnsi="Helvetica"/>
              <w:color w:val="808080"/>
              <w:sz w:val="13"/>
              <w:szCs w:val="13"/>
            </w:rPr>
            <w:t xml:space="preserve">  CONSEJERIA DE TRANSPORTES,</w:t>
          </w:r>
        </w:p>
        <w:p w:rsidR="00200FF2" w:rsidRPr="000B354D" w:rsidRDefault="00200FF2" w:rsidP="00EB19F5">
          <w:pPr>
            <w:rPr>
              <w:sz w:val="28"/>
              <w:szCs w:val="28"/>
            </w:rPr>
          </w:pPr>
          <w:r>
            <w:rPr>
              <w:rFonts w:ascii="Helvetica" w:hAnsi="Helvetica"/>
              <w:color w:val="808080"/>
              <w:sz w:val="13"/>
              <w:szCs w:val="13"/>
            </w:rPr>
            <w:t xml:space="preserve">  VIVIENDA E INFRAESTRUCTURAS</w:t>
          </w:r>
        </w:p>
      </w:tc>
    </w:tr>
    <w:tr w:rsidR="00200FF2" w:rsidRPr="00C652B0" w:rsidTr="00EB19F5">
      <w:trPr>
        <w:trHeight w:val="204"/>
      </w:trPr>
      <w:tc>
        <w:tcPr>
          <w:tcW w:w="9405" w:type="dxa"/>
          <w:gridSpan w:val="2"/>
        </w:tcPr>
        <w:p w:rsidR="00200FF2" w:rsidRPr="00FE3686" w:rsidRDefault="00200FF2" w:rsidP="00EB19F5">
          <w:pPr>
            <w:rPr>
              <w:rFonts w:ascii="Helvetica-Black-SemiBold" w:hAnsi="Helvetica-Black-SemiBold"/>
              <w:color w:val="A6A6A6"/>
              <w:sz w:val="32"/>
              <w:szCs w:val="32"/>
            </w:rPr>
          </w:pPr>
          <w:r w:rsidRPr="00FE3686">
            <w:rPr>
              <w:rFonts w:ascii="Helvetica-Black-SemiBold" w:hAnsi="Helvetica-Black-SemiBold"/>
              <w:color w:val="A6A6A6"/>
              <w:sz w:val="32"/>
              <w:szCs w:val="32"/>
            </w:rPr>
            <w:t>Comunidad de Madrid</w:t>
          </w:r>
          <w:r>
            <w:t xml:space="preserve">                                                                                                                    </w:t>
          </w:r>
        </w:p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3692"/>
          </w:tblGrid>
          <w:tr w:rsidR="00200FF2" w:rsidRPr="002E15F6" w:rsidTr="00EB19F5">
            <w:trPr>
              <w:trHeight w:val="213"/>
              <w:jc w:val="right"/>
            </w:trPr>
            <w:tc>
              <w:tcPr>
                <w:tcW w:w="3692" w:type="dxa"/>
              </w:tcPr>
              <w:tbl>
                <w:tblPr>
                  <w:tblW w:w="3692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3692"/>
                </w:tblGrid>
                <w:tr w:rsidR="00200FF2" w:rsidRPr="002E15F6" w:rsidTr="00EB19F5">
                  <w:trPr>
                    <w:trHeight w:val="206"/>
                  </w:trPr>
                  <w:tc>
                    <w:tcPr>
                      <w:tcW w:w="3692" w:type="dxa"/>
                    </w:tcPr>
                    <w:p w:rsidR="00200FF2" w:rsidRPr="002E15F6" w:rsidRDefault="00200FF2" w:rsidP="00EB19F5">
                      <w:pPr>
                        <w:ind w:left="-6233" w:right="495"/>
                        <w:jc w:val="right"/>
                        <w:rPr>
                          <w:rFonts w:ascii="Helvetica" w:hAnsi="Helvetica"/>
                          <w:sz w:val="28"/>
                          <w:szCs w:val="28"/>
                        </w:rPr>
                      </w:pPr>
                    </w:p>
                  </w:tc>
                </w:tr>
              </w:tbl>
              <w:p w:rsidR="00200FF2" w:rsidRPr="002E15F6" w:rsidRDefault="00200FF2" w:rsidP="00EB19F5">
                <w:pPr>
                  <w:jc w:val="right"/>
                  <w:rPr>
                    <w:sz w:val="28"/>
                    <w:szCs w:val="28"/>
                  </w:rPr>
                </w:pPr>
              </w:p>
            </w:tc>
          </w:tr>
        </w:tbl>
        <w:p w:rsidR="00200FF2" w:rsidRPr="00C652B0" w:rsidRDefault="00200FF2" w:rsidP="00EB19F5">
          <w:pPr>
            <w:jc w:val="right"/>
          </w:pPr>
        </w:p>
      </w:tc>
    </w:tr>
  </w:tbl>
  <w:p w:rsidR="004947FC" w:rsidRDefault="004947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05" w:type="dxa"/>
      <w:tblLayout w:type="fixed"/>
      <w:tblLook w:val="04A0" w:firstRow="1" w:lastRow="0" w:firstColumn="1" w:lastColumn="0" w:noHBand="0" w:noVBand="1"/>
    </w:tblPr>
    <w:tblGrid>
      <w:gridCol w:w="648"/>
      <w:gridCol w:w="8757"/>
    </w:tblGrid>
    <w:tr w:rsidR="00200FF2" w:rsidRPr="00C652B0" w:rsidTr="00EB19F5">
      <w:trPr>
        <w:trHeight w:val="723"/>
      </w:trPr>
      <w:tc>
        <w:tcPr>
          <w:tcW w:w="648" w:type="dxa"/>
        </w:tcPr>
        <w:p w:rsidR="00200FF2" w:rsidRPr="00C652B0" w:rsidRDefault="005319B2" w:rsidP="00EB19F5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33375" cy="3238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57" w:type="dxa"/>
          <w:noWrap/>
        </w:tcPr>
        <w:p w:rsidR="00200FF2" w:rsidRPr="000B354D" w:rsidRDefault="00200FF2" w:rsidP="00EB19F5">
          <w:pPr>
            <w:spacing w:before="40"/>
            <w:rPr>
              <w:noProof/>
              <w:sz w:val="28"/>
              <w:szCs w:val="28"/>
            </w:rPr>
          </w:pPr>
        </w:p>
        <w:p w:rsidR="00200FF2" w:rsidRDefault="00200FF2" w:rsidP="00EB19F5">
          <w:pPr>
            <w:spacing w:before="40"/>
            <w:rPr>
              <w:rFonts w:ascii="Helvetica" w:hAnsi="Helvetica"/>
              <w:color w:val="808080"/>
              <w:sz w:val="13"/>
              <w:szCs w:val="13"/>
            </w:rPr>
          </w:pPr>
          <w:r>
            <w:rPr>
              <w:rFonts w:ascii="Helvetica" w:hAnsi="Helvetica"/>
              <w:color w:val="808080"/>
              <w:sz w:val="13"/>
              <w:szCs w:val="13"/>
            </w:rPr>
            <w:t xml:space="preserve">  CONSEJERIA DE TRANSPORTES,</w:t>
          </w:r>
        </w:p>
        <w:p w:rsidR="00200FF2" w:rsidRPr="000B354D" w:rsidRDefault="00200FF2" w:rsidP="00EB19F5">
          <w:pPr>
            <w:rPr>
              <w:sz w:val="28"/>
              <w:szCs w:val="28"/>
            </w:rPr>
          </w:pPr>
          <w:r>
            <w:rPr>
              <w:rFonts w:ascii="Helvetica" w:hAnsi="Helvetica"/>
              <w:color w:val="808080"/>
              <w:sz w:val="13"/>
              <w:szCs w:val="13"/>
            </w:rPr>
            <w:t xml:space="preserve">  VIVIENDA E INFRAESTRUCTURAS</w:t>
          </w:r>
        </w:p>
      </w:tc>
    </w:tr>
    <w:tr w:rsidR="00200FF2" w:rsidRPr="00C652B0" w:rsidTr="00EB19F5">
      <w:trPr>
        <w:trHeight w:val="204"/>
      </w:trPr>
      <w:tc>
        <w:tcPr>
          <w:tcW w:w="9405" w:type="dxa"/>
          <w:gridSpan w:val="2"/>
        </w:tcPr>
        <w:p w:rsidR="00200FF2" w:rsidRPr="00FE3686" w:rsidRDefault="00200FF2" w:rsidP="00EB19F5">
          <w:pPr>
            <w:rPr>
              <w:rFonts w:ascii="Helvetica-Black-SemiBold" w:hAnsi="Helvetica-Black-SemiBold"/>
              <w:color w:val="A6A6A6"/>
              <w:sz w:val="32"/>
              <w:szCs w:val="32"/>
            </w:rPr>
          </w:pPr>
          <w:r w:rsidRPr="00FE3686">
            <w:rPr>
              <w:rFonts w:ascii="Helvetica-Black-SemiBold" w:hAnsi="Helvetica-Black-SemiBold"/>
              <w:color w:val="A6A6A6"/>
              <w:sz w:val="32"/>
              <w:szCs w:val="32"/>
            </w:rPr>
            <w:t>Comunidad de Madrid</w:t>
          </w:r>
          <w:r>
            <w:t xml:space="preserve">                                                                                                                    </w:t>
          </w:r>
        </w:p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3692"/>
          </w:tblGrid>
          <w:tr w:rsidR="00200FF2" w:rsidRPr="002E15F6" w:rsidTr="00EB19F5">
            <w:trPr>
              <w:trHeight w:val="213"/>
              <w:jc w:val="right"/>
            </w:trPr>
            <w:tc>
              <w:tcPr>
                <w:tcW w:w="3692" w:type="dxa"/>
              </w:tcPr>
              <w:tbl>
                <w:tblPr>
                  <w:tblW w:w="3692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3692"/>
                </w:tblGrid>
                <w:tr w:rsidR="00200FF2" w:rsidRPr="002E15F6" w:rsidTr="00EB19F5">
                  <w:trPr>
                    <w:trHeight w:val="206"/>
                  </w:trPr>
                  <w:tc>
                    <w:tcPr>
                      <w:tcW w:w="3692" w:type="dxa"/>
                    </w:tcPr>
                    <w:p w:rsidR="00200FF2" w:rsidRPr="002E15F6" w:rsidRDefault="00200FF2" w:rsidP="00EB19F5">
                      <w:pPr>
                        <w:ind w:left="-6233" w:right="495"/>
                        <w:jc w:val="right"/>
                        <w:rPr>
                          <w:rFonts w:ascii="Helvetica" w:hAnsi="Helvetica"/>
                          <w:sz w:val="28"/>
                          <w:szCs w:val="28"/>
                        </w:rPr>
                      </w:pPr>
                    </w:p>
                  </w:tc>
                </w:tr>
              </w:tbl>
              <w:p w:rsidR="00200FF2" w:rsidRPr="002E15F6" w:rsidRDefault="00200FF2" w:rsidP="00EB19F5">
                <w:pPr>
                  <w:jc w:val="right"/>
                  <w:rPr>
                    <w:sz w:val="28"/>
                    <w:szCs w:val="28"/>
                  </w:rPr>
                </w:pPr>
              </w:p>
            </w:tc>
          </w:tr>
        </w:tbl>
        <w:p w:rsidR="00200FF2" w:rsidRPr="00C652B0" w:rsidRDefault="00200FF2" w:rsidP="00EB19F5">
          <w:pPr>
            <w:jc w:val="right"/>
          </w:pPr>
        </w:p>
      </w:tc>
    </w:tr>
  </w:tbl>
  <w:p w:rsidR="004947FC" w:rsidRPr="00200FF2" w:rsidRDefault="004947FC" w:rsidP="0020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9397A"/>
    <w:multiLevelType w:val="hybridMultilevel"/>
    <w:tmpl w:val="72ACB9C2"/>
    <w:lvl w:ilvl="0" w:tplc="DD8AA76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1370A"/>
    <w:multiLevelType w:val="multilevel"/>
    <w:tmpl w:val="AE6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26BB2"/>
    <w:multiLevelType w:val="hybridMultilevel"/>
    <w:tmpl w:val="AD4A86CE"/>
    <w:lvl w:ilvl="0" w:tplc="1728B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1C3B42DE"/>
    <w:multiLevelType w:val="multilevel"/>
    <w:tmpl w:val="1E6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C0E49"/>
    <w:multiLevelType w:val="hybridMultilevel"/>
    <w:tmpl w:val="97E49B8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A073A"/>
    <w:multiLevelType w:val="hybridMultilevel"/>
    <w:tmpl w:val="435A46B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078D5"/>
    <w:multiLevelType w:val="hybridMultilevel"/>
    <w:tmpl w:val="8CCAB9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E253F"/>
    <w:multiLevelType w:val="hybridMultilevel"/>
    <w:tmpl w:val="BC9C575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B459F3"/>
    <w:multiLevelType w:val="hybridMultilevel"/>
    <w:tmpl w:val="B10A537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87E0B"/>
    <w:multiLevelType w:val="hybridMultilevel"/>
    <w:tmpl w:val="D122BB96"/>
    <w:lvl w:ilvl="0" w:tplc="90E2B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861C7"/>
    <w:multiLevelType w:val="hybridMultilevel"/>
    <w:tmpl w:val="2CCE5E0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9B0A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0608A"/>
    <w:multiLevelType w:val="hybridMultilevel"/>
    <w:tmpl w:val="9964FAEE"/>
    <w:lvl w:ilvl="0" w:tplc="BD74C02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554A13"/>
    <w:multiLevelType w:val="hybridMultilevel"/>
    <w:tmpl w:val="29DE99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62016F"/>
    <w:multiLevelType w:val="hybridMultilevel"/>
    <w:tmpl w:val="2FC299E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2C0E0D"/>
    <w:multiLevelType w:val="hybridMultilevel"/>
    <w:tmpl w:val="6AAE1B7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FF1DA9"/>
    <w:multiLevelType w:val="hybridMultilevel"/>
    <w:tmpl w:val="DCA4073A"/>
    <w:lvl w:ilvl="0" w:tplc="899223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884324D"/>
    <w:multiLevelType w:val="hybridMultilevel"/>
    <w:tmpl w:val="ABC8878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8417C"/>
    <w:multiLevelType w:val="hybridMultilevel"/>
    <w:tmpl w:val="85187D20"/>
    <w:lvl w:ilvl="0" w:tplc="82CE7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D32EF"/>
    <w:multiLevelType w:val="hybridMultilevel"/>
    <w:tmpl w:val="563EE1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5"/>
  </w:num>
  <w:num w:numId="5">
    <w:abstractNumId w:val="18"/>
  </w:num>
  <w:num w:numId="6">
    <w:abstractNumId w:val="0"/>
  </w:num>
  <w:num w:numId="7">
    <w:abstractNumId w:val="14"/>
  </w:num>
  <w:num w:numId="8">
    <w:abstractNumId w:val="13"/>
  </w:num>
  <w:num w:numId="9">
    <w:abstractNumId w:val="10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17"/>
  </w:num>
  <w:num w:numId="15">
    <w:abstractNumId w:val="9"/>
  </w:num>
  <w:num w:numId="16">
    <w:abstractNumId w:val="1"/>
  </w:num>
  <w:num w:numId="17">
    <w:abstractNumId w:val="3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C8"/>
    <w:rsid w:val="0000298A"/>
    <w:rsid w:val="00003BE3"/>
    <w:rsid w:val="00012AAC"/>
    <w:rsid w:val="000152DB"/>
    <w:rsid w:val="0002074C"/>
    <w:rsid w:val="00020A11"/>
    <w:rsid w:val="00020FD8"/>
    <w:rsid w:val="00024993"/>
    <w:rsid w:val="0002755F"/>
    <w:rsid w:val="00030C2C"/>
    <w:rsid w:val="0003227B"/>
    <w:rsid w:val="00032DEE"/>
    <w:rsid w:val="00036609"/>
    <w:rsid w:val="00042C5D"/>
    <w:rsid w:val="00042D30"/>
    <w:rsid w:val="00053072"/>
    <w:rsid w:val="00073013"/>
    <w:rsid w:val="000738D5"/>
    <w:rsid w:val="00076A25"/>
    <w:rsid w:val="00087AEE"/>
    <w:rsid w:val="000960FD"/>
    <w:rsid w:val="000A025C"/>
    <w:rsid w:val="000A4EA6"/>
    <w:rsid w:val="000B5832"/>
    <w:rsid w:val="000C054B"/>
    <w:rsid w:val="000C4581"/>
    <w:rsid w:val="000C4D5D"/>
    <w:rsid w:val="000C7087"/>
    <w:rsid w:val="000D18D8"/>
    <w:rsid w:val="000D2361"/>
    <w:rsid w:val="000D3EAA"/>
    <w:rsid w:val="000E448C"/>
    <w:rsid w:val="00100052"/>
    <w:rsid w:val="00100503"/>
    <w:rsid w:val="001132D8"/>
    <w:rsid w:val="00114C10"/>
    <w:rsid w:val="00125986"/>
    <w:rsid w:val="00126A33"/>
    <w:rsid w:val="001319C3"/>
    <w:rsid w:val="0013516A"/>
    <w:rsid w:val="0013648C"/>
    <w:rsid w:val="001372C8"/>
    <w:rsid w:val="00153735"/>
    <w:rsid w:val="00155922"/>
    <w:rsid w:val="00157436"/>
    <w:rsid w:val="00160C44"/>
    <w:rsid w:val="00171E32"/>
    <w:rsid w:val="00175C70"/>
    <w:rsid w:val="001862C1"/>
    <w:rsid w:val="0019410E"/>
    <w:rsid w:val="001B2C86"/>
    <w:rsid w:val="001B5667"/>
    <w:rsid w:val="001B5F04"/>
    <w:rsid w:val="001B6360"/>
    <w:rsid w:val="001D703F"/>
    <w:rsid w:val="001D75A8"/>
    <w:rsid w:val="001E21EC"/>
    <w:rsid w:val="001E318C"/>
    <w:rsid w:val="001F0A44"/>
    <w:rsid w:val="001F1788"/>
    <w:rsid w:val="001F3215"/>
    <w:rsid w:val="001F4417"/>
    <w:rsid w:val="001F590E"/>
    <w:rsid w:val="001F5DD3"/>
    <w:rsid w:val="001F68EC"/>
    <w:rsid w:val="001F6978"/>
    <w:rsid w:val="001F75CB"/>
    <w:rsid w:val="00200FF2"/>
    <w:rsid w:val="002134EA"/>
    <w:rsid w:val="00213959"/>
    <w:rsid w:val="00214CC7"/>
    <w:rsid w:val="00221D6B"/>
    <w:rsid w:val="00222597"/>
    <w:rsid w:val="0022494D"/>
    <w:rsid w:val="00224FD5"/>
    <w:rsid w:val="0022576F"/>
    <w:rsid w:val="00230627"/>
    <w:rsid w:val="0023361F"/>
    <w:rsid w:val="00241B97"/>
    <w:rsid w:val="00254184"/>
    <w:rsid w:val="00264200"/>
    <w:rsid w:val="00266E0B"/>
    <w:rsid w:val="0027508F"/>
    <w:rsid w:val="00275F8D"/>
    <w:rsid w:val="0028025E"/>
    <w:rsid w:val="00293B2E"/>
    <w:rsid w:val="00293FFA"/>
    <w:rsid w:val="002A31C9"/>
    <w:rsid w:val="002A61A1"/>
    <w:rsid w:val="002B5B73"/>
    <w:rsid w:val="002B5C54"/>
    <w:rsid w:val="002C30CD"/>
    <w:rsid w:val="002C3F40"/>
    <w:rsid w:val="002C718C"/>
    <w:rsid w:val="002D1BA8"/>
    <w:rsid w:val="002D40CD"/>
    <w:rsid w:val="002D6FE5"/>
    <w:rsid w:val="002E4A56"/>
    <w:rsid w:val="002E738B"/>
    <w:rsid w:val="002F33E6"/>
    <w:rsid w:val="002F7EDA"/>
    <w:rsid w:val="00304EBF"/>
    <w:rsid w:val="0031316E"/>
    <w:rsid w:val="00324012"/>
    <w:rsid w:val="00324660"/>
    <w:rsid w:val="00333E79"/>
    <w:rsid w:val="00341437"/>
    <w:rsid w:val="0034388B"/>
    <w:rsid w:val="003558E1"/>
    <w:rsid w:val="0036434D"/>
    <w:rsid w:val="0037251C"/>
    <w:rsid w:val="00390656"/>
    <w:rsid w:val="003911A7"/>
    <w:rsid w:val="00396CE5"/>
    <w:rsid w:val="003B0F47"/>
    <w:rsid w:val="003B1E3F"/>
    <w:rsid w:val="003C191D"/>
    <w:rsid w:val="003C6EBC"/>
    <w:rsid w:val="003D63AC"/>
    <w:rsid w:val="003D7E9E"/>
    <w:rsid w:val="003E4103"/>
    <w:rsid w:val="003E7C0A"/>
    <w:rsid w:val="003F09EE"/>
    <w:rsid w:val="003F18D4"/>
    <w:rsid w:val="004076B7"/>
    <w:rsid w:val="00410976"/>
    <w:rsid w:val="00410A27"/>
    <w:rsid w:val="00412873"/>
    <w:rsid w:val="00421C08"/>
    <w:rsid w:val="004257FB"/>
    <w:rsid w:val="004341AD"/>
    <w:rsid w:val="004402CB"/>
    <w:rsid w:val="00441D91"/>
    <w:rsid w:val="00443E92"/>
    <w:rsid w:val="004507AF"/>
    <w:rsid w:val="00451541"/>
    <w:rsid w:val="0046537E"/>
    <w:rsid w:val="00470E21"/>
    <w:rsid w:val="00477319"/>
    <w:rsid w:val="00481078"/>
    <w:rsid w:val="00481551"/>
    <w:rsid w:val="00482FF1"/>
    <w:rsid w:val="00485819"/>
    <w:rsid w:val="004933C7"/>
    <w:rsid w:val="004947FC"/>
    <w:rsid w:val="004A062A"/>
    <w:rsid w:val="004A10C3"/>
    <w:rsid w:val="004B490F"/>
    <w:rsid w:val="004B66ED"/>
    <w:rsid w:val="004C6ECA"/>
    <w:rsid w:val="004D0055"/>
    <w:rsid w:val="004D10BD"/>
    <w:rsid w:val="004E6F01"/>
    <w:rsid w:val="004F375B"/>
    <w:rsid w:val="004F4755"/>
    <w:rsid w:val="004F4D31"/>
    <w:rsid w:val="005044C7"/>
    <w:rsid w:val="00507A0E"/>
    <w:rsid w:val="00511F3D"/>
    <w:rsid w:val="00522170"/>
    <w:rsid w:val="005266C2"/>
    <w:rsid w:val="00526721"/>
    <w:rsid w:val="005319B2"/>
    <w:rsid w:val="00534CBA"/>
    <w:rsid w:val="0054220E"/>
    <w:rsid w:val="005650AC"/>
    <w:rsid w:val="0056780E"/>
    <w:rsid w:val="005744C4"/>
    <w:rsid w:val="005763FF"/>
    <w:rsid w:val="00584EF5"/>
    <w:rsid w:val="00585E97"/>
    <w:rsid w:val="00596F75"/>
    <w:rsid w:val="005A3BDC"/>
    <w:rsid w:val="005A6646"/>
    <w:rsid w:val="005B24E3"/>
    <w:rsid w:val="005B4D2A"/>
    <w:rsid w:val="005C1046"/>
    <w:rsid w:val="005C1C0B"/>
    <w:rsid w:val="005C35FF"/>
    <w:rsid w:val="005C7279"/>
    <w:rsid w:val="005E109F"/>
    <w:rsid w:val="005E1B92"/>
    <w:rsid w:val="005E43E0"/>
    <w:rsid w:val="005F5AC6"/>
    <w:rsid w:val="005F71EB"/>
    <w:rsid w:val="0060213F"/>
    <w:rsid w:val="00614902"/>
    <w:rsid w:val="006162A5"/>
    <w:rsid w:val="006202B3"/>
    <w:rsid w:val="00620688"/>
    <w:rsid w:val="00621230"/>
    <w:rsid w:val="00632AB0"/>
    <w:rsid w:val="00635BB7"/>
    <w:rsid w:val="00644510"/>
    <w:rsid w:val="0064661D"/>
    <w:rsid w:val="0064764C"/>
    <w:rsid w:val="00654A5E"/>
    <w:rsid w:val="00665E54"/>
    <w:rsid w:val="00666320"/>
    <w:rsid w:val="006722CA"/>
    <w:rsid w:val="0068029E"/>
    <w:rsid w:val="00685C27"/>
    <w:rsid w:val="00687097"/>
    <w:rsid w:val="006912BE"/>
    <w:rsid w:val="00692841"/>
    <w:rsid w:val="006936C9"/>
    <w:rsid w:val="006954F3"/>
    <w:rsid w:val="006968B0"/>
    <w:rsid w:val="006969B1"/>
    <w:rsid w:val="0069786F"/>
    <w:rsid w:val="006A0808"/>
    <w:rsid w:val="006A4BFA"/>
    <w:rsid w:val="006A70F1"/>
    <w:rsid w:val="006B3248"/>
    <w:rsid w:val="006C258E"/>
    <w:rsid w:val="006D2694"/>
    <w:rsid w:val="006E0022"/>
    <w:rsid w:val="006E015D"/>
    <w:rsid w:val="00701350"/>
    <w:rsid w:val="00701A90"/>
    <w:rsid w:val="0070581A"/>
    <w:rsid w:val="00705956"/>
    <w:rsid w:val="0070651C"/>
    <w:rsid w:val="0071244A"/>
    <w:rsid w:val="00717ED0"/>
    <w:rsid w:val="00725AC9"/>
    <w:rsid w:val="00734155"/>
    <w:rsid w:val="00734FB1"/>
    <w:rsid w:val="007454D7"/>
    <w:rsid w:val="00745CB6"/>
    <w:rsid w:val="00790E0A"/>
    <w:rsid w:val="007918F8"/>
    <w:rsid w:val="007924E5"/>
    <w:rsid w:val="00797D51"/>
    <w:rsid w:val="007A3196"/>
    <w:rsid w:val="007A5768"/>
    <w:rsid w:val="007B3964"/>
    <w:rsid w:val="007B4E55"/>
    <w:rsid w:val="007B6850"/>
    <w:rsid w:val="007C2A45"/>
    <w:rsid w:val="007C57E3"/>
    <w:rsid w:val="007D6CB4"/>
    <w:rsid w:val="007E173D"/>
    <w:rsid w:val="007E1D3D"/>
    <w:rsid w:val="007E1EB9"/>
    <w:rsid w:val="007F2361"/>
    <w:rsid w:val="007F33BA"/>
    <w:rsid w:val="007F3F48"/>
    <w:rsid w:val="007F4DA0"/>
    <w:rsid w:val="007F72D3"/>
    <w:rsid w:val="008002E7"/>
    <w:rsid w:val="00800ECC"/>
    <w:rsid w:val="00801B81"/>
    <w:rsid w:val="00803270"/>
    <w:rsid w:val="00807846"/>
    <w:rsid w:val="00820FEF"/>
    <w:rsid w:val="00831623"/>
    <w:rsid w:val="0083411C"/>
    <w:rsid w:val="00835F3F"/>
    <w:rsid w:val="008413A9"/>
    <w:rsid w:val="0084225D"/>
    <w:rsid w:val="008428E2"/>
    <w:rsid w:val="00851F92"/>
    <w:rsid w:val="00857582"/>
    <w:rsid w:val="0086292B"/>
    <w:rsid w:val="008667D5"/>
    <w:rsid w:val="00872335"/>
    <w:rsid w:val="00880708"/>
    <w:rsid w:val="00886A88"/>
    <w:rsid w:val="008978C1"/>
    <w:rsid w:val="008A0055"/>
    <w:rsid w:val="008A0612"/>
    <w:rsid w:val="008A1885"/>
    <w:rsid w:val="008A4B89"/>
    <w:rsid w:val="008B39FB"/>
    <w:rsid w:val="008B6624"/>
    <w:rsid w:val="008C5F5F"/>
    <w:rsid w:val="008D2374"/>
    <w:rsid w:val="008D41D8"/>
    <w:rsid w:val="008D708C"/>
    <w:rsid w:val="008E0E44"/>
    <w:rsid w:val="008E49BA"/>
    <w:rsid w:val="008E4EF3"/>
    <w:rsid w:val="008E60AA"/>
    <w:rsid w:val="008F1826"/>
    <w:rsid w:val="008F29FF"/>
    <w:rsid w:val="008F415A"/>
    <w:rsid w:val="00906388"/>
    <w:rsid w:val="009218D4"/>
    <w:rsid w:val="0093123A"/>
    <w:rsid w:val="00934807"/>
    <w:rsid w:val="009354BF"/>
    <w:rsid w:val="00936E5F"/>
    <w:rsid w:val="00937FE1"/>
    <w:rsid w:val="009409D3"/>
    <w:rsid w:val="00942A32"/>
    <w:rsid w:val="009440F2"/>
    <w:rsid w:val="00946AAD"/>
    <w:rsid w:val="00946C70"/>
    <w:rsid w:val="00950820"/>
    <w:rsid w:val="00962348"/>
    <w:rsid w:val="00962E51"/>
    <w:rsid w:val="009665AD"/>
    <w:rsid w:val="00973976"/>
    <w:rsid w:val="0097455E"/>
    <w:rsid w:val="009961D3"/>
    <w:rsid w:val="009A52D9"/>
    <w:rsid w:val="009A7591"/>
    <w:rsid w:val="009B2FE4"/>
    <w:rsid w:val="009B59E1"/>
    <w:rsid w:val="009B6DD7"/>
    <w:rsid w:val="009C5BA3"/>
    <w:rsid w:val="009C61EB"/>
    <w:rsid w:val="009D26CD"/>
    <w:rsid w:val="009F5A6A"/>
    <w:rsid w:val="00A006B9"/>
    <w:rsid w:val="00A0136C"/>
    <w:rsid w:val="00A02849"/>
    <w:rsid w:val="00A029AD"/>
    <w:rsid w:val="00A03A74"/>
    <w:rsid w:val="00A044E0"/>
    <w:rsid w:val="00A30031"/>
    <w:rsid w:val="00A348B5"/>
    <w:rsid w:val="00A4033A"/>
    <w:rsid w:val="00A42530"/>
    <w:rsid w:val="00A4283D"/>
    <w:rsid w:val="00A50AFD"/>
    <w:rsid w:val="00A51410"/>
    <w:rsid w:val="00A51FCA"/>
    <w:rsid w:val="00A57BC9"/>
    <w:rsid w:val="00A6616E"/>
    <w:rsid w:val="00A72E23"/>
    <w:rsid w:val="00A756E6"/>
    <w:rsid w:val="00A7595E"/>
    <w:rsid w:val="00A76667"/>
    <w:rsid w:val="00A76C1C"/>
    <w:rsid w:val="00A77C5C"/>
    <w:rsid w:val="00A82249"/>
    <w:rsid w:val="00A86382"/>
    <w:rsid w:val="00A971E4"/>
    <w:rsid w:val="00AB089A"/>
    <w:rsid w:val="00AB2022"/>
    <w:rsid w:val="00AC2376"/>
    <w:rsid w:val="00AC72A1"/>
    <w:rsid w:val="00AE482E"/>
    <w:rsid w:val="00AF198D"/>
    <w:rsid w:val="00AF4AEC"/>
    <w:rsid w:val="00B00F54"/>
    <w:rsid w:val="00B010CB"/>
    <w:rsid w:val="00B022D9"/>
    <w:rsid w:val="00B06BED"/>
    <w:rsid w:val="00B21825"/>
    <w:rsid w:val="00B2552E"/>
    <w:rsid w:val="00B36880"/>
    <w:rsid w:val="00B371C5"/>
    <w:rsid w:val="00B372A5"/>
    <w:rsid w:val="00B427EF"/>
    <w:rsid w:val="00B468B6"/>
    <w:rsid w:val="00B54FB9"/>
    <w:rsid w:val="00B5537E"/>
    <w:rsid w:val="00B611A8"/>
    <w:rsid w:val="00B63619"/>
    <w:rsid w:val="00B649A0"/>
    <w:rsid w:val="00B6749E"/>
    <w:rsid w:val="00B75F77"/>
    <w:rsid w:val="00B91EC1"/>
    <w:rsid w:val="00B96BD9"/>
    <w:rsid w:val="00BA24C4"/>
    <w:rsid w:val="00BA4362"/>
    <w:rsid w:val="00BC5077"/>
    <w:rsid w:val="00BD4C57"/>
    <w:rsid w:val="00BE58BA"/>
    <w:rsid w:val="00BE6C53"/>
    <w:rsid w:val="00BE7A68"/>
    <w:rsid w:val="00BF6D04"/>
    <w:rsid w:val="00C02FAB"/>
    <w:rsid w:val="00C067B1"/>
    <w:rsid w:val="00C1551A"/>
    <w:rsid w:val="00C1578E"/>
    <w:rsid w:val="00C20790"/>
    <w:rsid w:val="00C22E47"/>
    <w:rsid w:val="00C33E1A"/>
    <w:rsid w:val="00C365D0"/>
    <w:rsid w:val="00C37AB3"/>
    <w:rsid w:val="00C41CEA"/>
    <w:rsid w:val="00C42921"/>
    <w:rsid w:val="00C5136A"/>
    <w:rsid w:val="00C56FFE"/>
    <w:rsid w:val="00C63A27"/>
    <w:rsid w:val="00C8490C"/>
    <w:rsid w:val="00C919EE"/>
    <w:rsid w:val="00CA6693"/>
    <w:rsid w:val="00CB0F91"/>
    <w:rsid w:val="00CB16C0"/>
    <w:rsid w:val="00CB481D"/>
    <w:rsid w:val="00CC1002"/>
    <w:rsid w:val="00CD1264"/>
    <w:rsid w:val="00CD23D4"/>
    <w:rsid w:val="00CD47CF"/>
    <w:rsid w:val="00CD6150"/>
    <w:rsid w:val="00CD6A72"/>
    <w:rsid w:val="00CE3B34"/>
    <w:rsid w:val="00CE40F8"/>
    <w:rsid w:val="00CE459F"/>
    <w:rsid w:val="00CF0231"/>
    <w:rsid w:val="00CF0DD2"/>
    <w:rsid w:val="00CF2093"/>
    <w:rsid w:val="00CF3519"/>
    <w:rsid w:val="00CF5DFC"/>
    <w:rsid w:val="00D027D2"/>
    <w:rsid w:val="00D0292C"/>
    <w:rsid w:val="00D03DCC"/>
    <w:rsid w:val="00D04648"/>
    <w:rsid w:val="00D04952"/>
    <w:rsid w:val="00D05BA8"/>
    <w:rsid w:val="00D14316"/>
    <w:rsid w:val="00D154C7"/>
    <w:rsid w:val="00D2042A"/>
    <w:rsid w:val="00D21953"/>
    <w:rsid w:val="00D224BA"/>
    <w:rsid w:val="00D501DE"/>
    <w:rsid w:val="00D50DE2"/>
    <w:rsid w:val="00D51834"/>
    <w:rsid w:val="00D716FE"/>
    <w:rsid w:val="00D73253"/>
    <w:rsid w:val="00D747F2"/>
    <w:rsid w:val="00D83CA9"/>
    <w:rsid w:val="00D85804"/>
    <w:rsid w:val="00D86AE5"/>
    <w:rsid w:val="00D86C5A"/>
    <w:rsid w:val="00D907A1"/>
    <w:rsid w:val="00D9651F"/>
    <w:rsid w:val="00D966D0"/>
    <w:rsid w:val="00DA10A4"/>
    <w:rsid w:val="00DA2976"/>
    <w:rsid w:val="00DA2CCE"/>
    <w:rsid w:val="00DA38B5"/>
    <w:rsid w:val="00DA7820"/>
    <w:rsid w:val="00DB7509"/>
    <w:rsid w:val="00DC00AE"/>
    <w:rsid w:val="00DD299B"/>
    <w:rsid w:val="00DD2FB5"/>
    <w:rsid w:val="00DD6AE9"/>
    <w:rsid w:val="00DE09E1"/>
    <w:rsid w:val="00DE3D92"/>
    <w:rsid w:val="00DF1517"/>
    <w:rsid w:val="00DF3D83"/>
    <w:rsid w:val="00DF5558"/>
    <w:rsid w:val="00E00F3B"/>
    <w:rsid w:val="00E028C6"/>
    <w:rsid w:val="00E03D00"/>
    <w:rsid w:val="00E061DA"/>
    <w:rsid w:val="00E06E21"/>
    <w:rsid w:val="00E07D96"/>
    <w:rsid w:val="00E14372"/>
    <w:rsid w:val="00E2579C"/>
    <w:rsid w:val="00E32935"/>
    <w:rsid w:val="00E375B5"/>
    <w:rsid w:val="00E4085E"/>
    <w:rsid w:val="00E43CC3"/>
    <w:rsid w:val="00E441C0"/>
    <w:rsid w:val="00E45955"/>
    <w:rsid w:val="00E47F0A"/>
    <w:rsid w:val="00E565E3"/>
    <w:rsid w:val="00E57E7B"/>
    <w:rsid w:val="00E60FDE"/>
    <w:rsid w:val="00E71A91"/>
    <w:rsid w:val="00E73608"/>
    <w:rsid w:val="00E74D7F"/>
    <w:rsid w:val="00E80D34"/>
    <w:rsid w:val="00E86685"/>
    <w:rsid w:val="00E86D28"/>
    <w:rsid w:val="00E962D4"/>
    <w:rsid w:val="00EA3375"/>
    <w:rsid w:val="00EB19F5"/>
    <w:rsid w:val="00EB2191"/>
    <w:rsid w:val="00EC7063"/>
    <w:rsid w:val="00ED3676"/>
    <w:rsid w:val="00EE5BE1"/>
    <w:rsid w:val="00EE647F"/>
    <w:rsid w:val="00EF14B7"/>
    <w:rsid w:val="00EF1AD9"/>
    <w:rsid w:val="00EF3F8E"/>
    <w:rsid w:val="00EF7582"/>
    <w:rsid w:val="00F02F63"/>
    <w:rsid w:val="00F06073"/>
    <w:rsid w:val="00F1489E"/>
    <w:rsid w:val="00F2322F"/>
    <w:rsid w:val="00F24161"/>
    <w:rsid w:val="00F30640"/>
    <w:rsid w:val="00F32DE2"/>
    <w:rsid w:val="00F34394"/>
    <w:rsid w:val="00F345F5"/>
    <w:rsid w:val="00F354E1"/>
    <w:rsid w:val="00F36FA7"/>
    <w:rsid w:val="00F43917"/>
    <w:rsid w:val="00F553F9"/>
    <w:rsid w:val="00F57EE9"/>
    <w:rsid w:val="00F63774"/>
    <w:rsid w:val="00F664DE"/>
    <w:rsid w:val="00F66B23"/>
    <w:rsid w:val="00F66B90"/>
    <w:rsid w:val="00F703B1"/>
    <w:rsid w:val="00F81927"/>
    <w:rsid w:val="00F8398E"/>
    <w:rsid w:val="00F86618"/>
    <w:rsid w:val="00FA1E19"/>
    <w:rsid w:val="00FA3AD4"/>
    <w:rsid w:val="00FA7636"/>
    <w:rsid w:val="00FB1177"/>
    <w:rsid w:val="00FB3ECE"/>
    <w:rsid w:val="00FB5BC1"/>
    <w:rsid w:val="00FB7D6D"/>
    <w:rsid w:val="00FD5486"/>
    <w:rsid w:val="00FD73AE"/>
    <w:rsid w:val="00FE3E19"/>
    <w:rsid w:val="00FF6F86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BC767-BBCF-4E11-BB06-88BC235A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A18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56F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56FF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8490C"/>
  </w:style>
  <w:style w:type="paragraph" w:styleId="NormalWeb">
    <w:name w:val="Normal (Web)"/>
    <w:basedOn w:val="Normal"/>
    <w:uiPriority w:val="99"/>
    <w:unhideWhenUsed/>
    <w:rsid w:val="00B06B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uiPriority w:val="20"/>
    <w:qFormat/>
    <w:rsid w:val="00B06BED"/>
    <w:rPr>
      <w:i/>
      <w:iCs/>
    </w:rPr>
  </w:style>
  <w:style w:type="paragraph" w:styleId="Prrafodelista">
    <w:name w:val="List Paragraph"/>
    <w:basedOn w:val="Normal"/>
    <w:uiPriority w:val="34"/>
    <w:qFormat/>
    <w:rsid w:val="001F75CB"/>
    <w:pPr>
      <w:ind w:left="708"/>
    </w:pPr>
  </w:style>
  <w:style w:type="character" w:customStyle="1" w:styleId="PiedepginaCar">
    <w:name w:val="Pie de página Car"/>
    <w:link w:val="Piedepgina"/>
    <w:uiPriority w:val="99"/>
    <w:rsid w:val="00A029A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FDAC-0EE8-4FA6-A60B-2C165193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2043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DE ACCESIBILIDAD</vt:lpstr>
    </vt:vector>
  </TitlesOfParts>
  <Company>Comunidad de Madrid</Company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DE ACCESIBILIDAD</dc:title>
  <dc:subject/>
  <dc:creator>AUH3163</dc:creator>
  <cp:keywords/>
  <dc:description/>
  <cp:lastModifiedBy>ALONSO RODRIGUEZ , ISABEL</cp:lastModifiedBy>
  <cp:revision>4</cp:revision>
  <cp:lastPrinted>2016-01-20T09:48:00Z</cp:lastPrinted>
  <dcterms:created xsi:type="dcterms:W3CDTF">2017-02-27T12:07:00Z</dcterms:created>
  <dcterms:modified xsi:type="dcterms:W3CDTF">2017-06-23T07:16:00Z</dcterms:modified>
</cp:coreProperties>
</file>