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F0" w:rsidRDefault="009B74F3">
      <w:pPr>
        <w:tabs>
          <w:tab w:val="left" w:pos="5628"/>
        </w:tabs>
        <w:ind w:left="102"/>
        <w:rPr>
          <w:rFonts w:ascii="Times New Roman"/>
          <w:sz w:val="20"/>
        </w:rPr>
      </w:pPr>
      <w:bookmarkStart w:id="0" w:name="_GoBack"/>
      <w:bookmarkEnd w:id="0"/>
      <w:r>
        <w:rPr>
          <w:rFonts w:ascii="Times New Roman"/>
          <w:noProof/>
          <w:sz w:val="20"/>
          <w:lang w:val="es-ES" w:eastAsia="es-ES"/>
        </w:rPr>
        <w:drawing>
          <wp:inline distT="0" distB="0" distL="0" distR="0">
            <wp:extent cx="2191502" cy="487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91502" cy="487679"/>
                    </a:xfrm>
                    <a:prstGeom prst="rect">
                      <a:avLst/>
                    </a:prstGeom>
                  </pic:spPr>
                </pic:pic>
              </a:graphicData>
            </a:graphic>
          </wp:inline>
        </w:drawing>
      </w:r>
      <w:r>
        <w:rPr>
          <w:rFonts w:ascii="Times New Roman"/>
          <w:sz w:val="20"/>
        </w:rPr>
        <w:tab/>
      </w:r>
      <w:r>
        <w:rPr>
          <w:rFonts w:ascii="Times New Roman"/>
          <w:noProof/>
          <w:position w:val="1"/>
          <w:sz w:val="20"/>
          <w:lang w:val="es-ES" w:eastAsia="es-ES"/>
        </w:rPr>
        <w:drawing>
          <wp:inline distT="0" distB="0" distL="0" distR="0">
            <wp:extent cx="1872048" cy="49206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872048" cy="492061"/>
                    </a:xfrm>
                    <a:prstGeom prst="rect">
                      <a:avLst/>
                    </a:prstGeom>
                  </pic:spPr>
                </pic:pic>
              </a:graphicData>
            </a:graphic>
          </wp:inline>
        </w:drawing>
      </w:r>
    </w:p>
    <w:p w:rsidR="002B33F0" w:rsidRDefault="002B33F0">
      <w:pPr>
        <w:pStyle w:val="Textoindependiente"/>
        <w:rPr>
          <w:rFonts w:ascii="Times New Roman"/>
          <w:i w:val="0"/>
          <w:sz w:val="20"/>
        </w:rPr>
      </w:pPr>
    </w:p>
    <w:p w:rsidR="002B33F0" w:rsidRDefault="002B33F0">
      <w:pPr>
        <w:pStyle w:val="Textoindependiente"/>
        <w:rPr>
          <w:rFonts w:ascii="Times New Roman"/>
          <w:i w:val="0"/>
          <w:sz w:val="20"/>
        </w:rPr>
      </w:pPr>
    </w:p>
    <w:p w:rsidR="002B33F0" w:rsidRDefault="002B33F0">
      <w:pPr>
        <w:pStyle w:val="Textoindependiente"/>
        <w:rPr>
          <w:rFonts w:ascii="Times New Roman"/>
          <w:i w:val="0"/>
          <w:sz w:val="20"/>
        </w:rPr>
      </w:pPr>
    </w:p>
    <w:p w:rsidR="002B33F0" w:rsidRDefault="002B33F0">
      <w:pPr>
        <w:pStyle w:val="Textoindependiente"/>
        <w:rPr>
          <w:rFonts w:ascii="Times New Roman"/>
          <w:i w:val="0"/>
          <w:sz w:val="20"/>
        </w:rPr>
      </w:pPr>
    </w:p>
    <w:p w:rsidR="002B33F0" w:rsidRDefault="002B33F0">
      <w:pPr>
        <w:pStyle w:val="Textoindependiente"/>
        <w:spacing w:before="4"/>
        <w:rPr>
          <w:rFonts w:ascii="Times New Roman"/>
          <w:i w:val="0"/>
          <w:sz w:val="19"/>
        </w:rPr>
      </w:pPr>
    </w:p>
    <w:p w:rsidR="002B33F0" w:rsidRPr="009B74F3" w:rsidRDefault="009B74F3">
      <w:pPr>
        <w:ind w:left="101" w:right="114"/>
        <w:jc w:val="both"/>
        <w:rPr>
          <w:b/>
          <w:lang w:val="es-ES"/>
        </w:rPr>
      </w:pPr>
      <w:r w:rsidRPr="009B74F3">
        <w:rPr>
          <w:b/>
          <w:lang w:val="es-ES"/>
        </w:rPr>
        <w:t>“Interesa destacar el acuerdo adoptado en fecha 8 de junio de 2016, por el Pleno del Consejo para la Promoción de la Accesibilidad y Supresión de Barreras de la Comunidad de Madrid, relativo a la ADOPCIÓN DE CRITERIO DE INTERPRETACIÓN EN CUANTO A LO DISPUE</w:t>
      </w:r>
      <w:r w:rsidRPr="009B74F3">
        <w:rPr>
          <w:b/>
          <w:lang w:val="es-ES"/>
        </w:rPr>
        <w:t>STO POR LA NORMATIVA DE LA COMUNIDAD DE MADRID PARA VADOS DE PEATONES EN RELACIÓN A LAS PRESCRIPCIONES DE LA ORDEN VIV/561/2010, DE 1 DE FEBRERO:</w:t>
      </w:r>
    </w:p>
    <w:p w:rsidR="002B33F0" w:rsidRPr="009B74F3" w:rsidRDefault="002B33F0">
      <w:pPr>
        <w:pStyle w:val="Textoindependiente"/>
        <w:rPr>
          <w:b/>
          <w:i w:val="0"/>
          <w:lang w:val="es-ES"/>
        </w:rPr>
      </w:pPr>
    </w:p>
    <w:p w:rsidR="002B33F0" w:rsidRPr="009B74F3" w:rsidRDefault="002B33F0">
      <w:pPr>
        <w:pStyle w:val="Textoindependiente"/>
        <w:spacing w:before="8"/>
        <w:rPr>
          <w:b/>
          <w:i w:val="0"/>
          <w:sz w:val="19"/>
          <w:lang w:val="es-ES"/>
        </w:rPr>
      </w:pPr>
    </w:p>
    <w:p w:rsidR="002B33F0" w:rsidRPr="009B74F3" w:rsidRDefault="009B74F3">
      <w:pPr>
        <w:pStyle w:val="Textoindependiente"/>
        <w:spacing w:line="276" w:lineRule="auto"/>
        <w:ind w:left="527" w:right="222" w:firstLine="281"/>
        <w:rPr>
          <w:lang w:val="es-ES"/>
        </w:rPr>
      </w:pPr>
      <w:r w:rsidRPr="009B74F3">
        <w:rPr>
          <w:lang w:val="es-ES"/>
        </w:rPr>
        <w:t xml:space="preserve">En tanto no aparezca una norma técnica que establezca un nuevo modelo, se </w:t>
      </w:r>
      <w:r w:rsidRPr="009B74F3">
        <w:rPr>
          <w:lang w:val="es-ES"/>
        </w:rPr>
        <w:t>considera conveniente la aplicació</w:t>
      </w:r>
      <w:r w:rsidRPr="009B74F3">
        <w:rPr>
          <w:lang w:val="es-ES"/>
        </w:rPr>
        <w:t>n de las siguientes disposiciones:</w:t>
      </w:r>
    </w:p>
    <w:p w:rsidR="002B33F0" w:rsidRPr="009B74F3" w:rsidRDefault="002B33F0">
      <w:pPr>
        <w:pStyle w:val="Textoindependiente"/>
        <w:spacing w:before="7"/>
        <w:rPr>
          <w:sz w:val="19"/>
          <w:lang w:val="es-ES"/>
        </w:rPr>
      </w:pPr>
    </w:p>
    <w:p w:rsidR="002B33F0" w:rsidRPr="009B74F3" w:rsidRDefault="009B74F3">
      <w:pPr>
        <w:pStyle w:val="Prrafodelista"/>
        <w:numPr>
          <w:ilvl w:val="0"/>
          <w:numId w:val="1"/>
        </w:numPr>
        <w:tabs>
          <w:tab w:val="left" w:pos="904"/>
        </w:tabs>
        <w:spacing w:before="0" w:line="276" w:lineRule="auto"/>
        <w:ind w:right="542" w:firstLine="0"/>
        <w:jc w:val="both"/>
        <w:rPr>
          <w:i/>
          <w:lang w:val="es-ES"/>
        </w:rPr>
      </w:pPr>
      <w:r w:rsidRPr="009B74F3">
        <w:rPr>
          <w:i/>
          <w:lang w:val="es-ES"/>
        </w:rPr>
        <w:t xml:space="preserve">Se considera más adecuada la </w:t>
      </w:r>
      <w:r w:rsidRPr="009B74F3">
        <w:rPr>
          <w:b/>
          <w:i/>
          <w:lang w:val="es-ES"/>
        </w:rPr>
        <w:t xml:space="preserve">anchura mínima de 1,20 metros </w:t>
      </w:r>
      <w:r w:rsidRPr="009B74F3">
        <w:rPr>
          <w:i/>
          <w:lang w:val="es-ES"/>
        </w:rPr>
        <w:t xml:space="preserve">para las bandas de pavimento tactovisual de señalización de vados peatonales, estableciendo el relieve de “botones” para la banda “de aproximación” adyacente al </w:t>
      </w:r>
      <w:r w:rsidRPr="009B74F3">
        <w:rPr>
          <w:i/>
          <w:lang w:val="es-ES"/>
        </w:rPr>
        <w:t xml:space="preserve">bordillo que delimita calzada y acera, y el relieve de </w:t>
      </w:r>
      <w:r w:rsidRPr="009B74F3">
        <w:rPr>
          <w:b/>
          <w:i/>
          <w:lang w:val="es-ES"/>
        </w:rPr>
        <w:t>acanaladura para la banda “de</w:t>
      </w:r>
      <w:r w:rsidRPr="009B74F3">
        <w:rPr>
          <w:b/>
          <w:i/>
          <w:spacing w:val="-19"/>
          <w:lang w:val="es-ES"/>
        </w:rPr>
        <w:t xml:space="preserve"> </w:t>
      </w:r>
      <w:r w:rsidRPr="009B74F3">
        <w:rPr>
          <w:b/>
          <w:i/>
          <w:lang w:val="es-ES"/>
        </w:rPr>
        <w:t>dirección”</w:t>
      </w:r>
      <w:r w:rsidRPr="009B74F3">
        <w:rPr>
          <w:i/>
          <w:lang w:val="es-ES"/>
        </w:rPr>
        <w:t>.</w:t>
      </w:r>
    </w:p>
    <w:p w:rsidR="002B33F0" w:rsidRPr="009B74F3" w:rsidRDefault="009B74F3">
      <w:pPr>
        <w:pStyle w:val="Prrafodelista"/>
        <w:numPr>
          <w:ilvl w:val="0"/>
          <w:numId w:val="1"/>
        </w:numPr>
        <w:tabs>
          <w:tab w:val="left" w:pos="815"/>
        </w:tabs>
        <w:spacing w:before="120" w:line="276" w:lineRule="auto"/>
        <w:ind w:right="543" w:firstLine="0"/>
        <w:jc w:val="both"/>
        <w:rPr>
          <w:i/>
          <w:lang w:val="es-ES"/>
        </w:rPr>
      </w:pPr>
      <w:r w:rsidRPr="009B74F3">
        <w:rPr>
          <w:b/>
          <w:i/>
          <w:lang w:val="es-ES"/>
        </w:rPr>
        <w:t xml:space="preserve">No deberán existir discontinuidades </w:t>
      </w:r>
      <w:r w:rsidRPr="009B74F3">
        <w:rPr>
          <w:i/>
          <w:lang w:val="es-ES"/>
        </w:rPr>
        <w:t>entre las diversas bandas de pavimento tactovisual.</w:t>
      </w:r>
    </w:p>
    <w:p w:rsidR="002B33F0" w:rsidRPr="009B74F3" w:rsidRDefault="009B74F3">
      <w:pPr>
        <w:pStyle w:val="Prrafodelista"/>
        <w:numPr>
          <w:ilvl w:val="0"/>
          <w:numId w:val="1"/>
        </w:numPr>
        <w:tabs>
          <w:tab w:val="left" w:pos="774"/>
        </w:tabs>
        <w:spacing w:before="120" w:line="276" w:lineRule="auto"/>
        <w:ind w:firstLine="0"/>
        <w:jc w:val="both"/>
        <w:rPr>
          <w:i/>
          <w:lang w:val="es-ES"/>
        </w:rPr>
      </w:pPr>
      <w:r w:rsidRPr="009B74F3">
        <w:rPr>
          <w:i/>
          <w:lang w:val="es-ES"/>
        </w:rPr>
        <w:t xml:space="preserve">En todos los casos, el </w:t>
      </w:r>
      <w:r w:rsidRPr="009B74F3">
        <w:rPr>
          <w:b/>
          <w:i/>
          <w:lang w:val="es-ES"/>
        </w:rPr>
        <w:t xml:space="preserve">contraste cromático </w:t>
      </w:r>
      <w:r w:rsidRPr="009B74F3">
        <w:rPr>
          <w:i/>
          <w:lang w:val="es-ES"/>
        </w:rPr>
        <w:t>de los pavimentos tactovisua</w:t>
      </w:r>
      <w:r w:rsidRPr="009B74F3">
        <w:rPr>
          <w:i/>
          <w:lang w:val="es-ES"/>
        </w:rPr>
        <w:t xml:space="preserve">les con el resto del pavimento peatonal se considera de importancia fundamental, aspecto coincidente en ambas normas y sobre el que debe hacerse un especial seguimiento, al igual que la estricta observancia de lo determinado en la Norma UNE‐ISO 21542‐2012 </w:t>
      </w:r>
      <w:r w:rsidRPr="009B74F3">
        <w:rPr>
          <w:i/>
          <w:lang w:val="es-ES"/>
        </w:rPr>
        <w:t xml:space="preserve">en lo relativo a las </w:t>
      </w:r>
      <w:r w:rsidRPr="009B74F3">
        <w:rPr>
          <w:b/>
          <w:i/>
          <w:lang w:val="es-ES"/>
        </w:rPr>
        <w:t xml:space="preserve">características geométricas </w:t>
      </w:r>
      <w:r w:rsidRPr="009B74F3">
        <w:rPr>
          <w:i/>
          <w:lang w:val="es-ES"/>
        </w:rPr>
        <w:t>de los pavimentos</w:t>
      </w:r>
      <w:r w:rsidRPr="009B74F3">
        <w:rPr>
          <w:i/>
          <w:spacing w:val="-18"/>
          <w:lang w:val="es-ES"/>
        </w:rPr>
        <w:t xml:space="preserve"> </w:t>
      </w:r>
      <w:r w:rsidRPr="009B74F3">
        <w:rPr>
          <w:i/>
          <w:lang w:val="es-ES"/>
        </w:rPr>
        <w:t>tactovisuales.</w:t>
      </w:r>
    </w:p>
    <w:p w:rsidR="002B33F0" w:rsidRPr="009B74F3" w:rsidRDefault="009B74F3">
      <w:pPr>
        <w:pStyle w:val="Prrafodelista"/>
        <w:numPr>
          <w:ilvl w:val="0"/>
          <w:numId w:val="1"/>
        </w:numPr>
        <w:tabs>
          <w:tab w:val="left" w:pos="756"/>
        </w:tabs>
        <w:spacing w:line="276" w:lineRule="auto"/>
        <w:ind w:firstLine="0"/>
        <w:jc w:val="both"/>
        <w:rPr>
          <w:i/>
          <w:lang w:val="es-ES"/>
        </w:rPr>
      </w:pPr>
      <w:r w:rsidRPr="009B74F3">
        <w:rPr>
          <w:i/>
          <w:lang w:val="es-ES"/>
        </w:rPr>
        <w:t xml:space="preserve">En cuanto a las pendientes máximas de los planos que configuran el vado se estima </w:t>
      </w:r>
      <w:r w:rsidRPr="009B74F3">
        <w:rPr>
          <w:i/>
          <w:lang w:val="es-ES"/>
        </w:rPr>
        <w:t>que en consideración de: a) la propia pendiente longitudinal de la acera (que no se tiene en cuenta en ninguna de las normas citadas), b) la utilización para la construcción de vado de los bordillos usuales en la Comunidad de Madrid (tipos IXa, IXb y IXc d</w:t>
      </w:r>
      <w:r w:rsidRPr="009B74F3">
        <w:rPr>
          <w:i/>
          <w:lang w:val="es-ES"/>
        </w:rPr>
        <w:t xml:space="preserve">e la N.E.C. 2002 del Ayuntamiento de Madrid) y c) que el desnivel estándar en la Comunidad de Madrid a salvar mediante el vado es de 14 cm, la </w:t>
      </w:r>
      <w:r w:rsidRPr="009B74F3">
        <w:rPr>
          <w:b/>
          <w:i/>
          <w:lang w:val="es-ES"/>
        </w:rPr>
        <w:t xml:space="preserve">pendiente del 10% </w:t>
      </w:r>
      <w:r w:rsidRPr="009B74F3">
        <w:rPr>
          <w:i/>
          <w:lang w:val="es-ES"/>
        </w:rPr>
        <w:t>se considera adecuada para estos planos inclinados. Una longitud de 1,20  metros para estos pla</w:t>
      </w:r>
      <w:r w:rsidRPr="009B74F3">
        <w:rPr>
          <w:i/>
          <w:lang w:val="es-ES"/>
        </w:rPr>
        <w:t>nos cumpliría con el requisito de pendiente máxima y, al ser  esta dimensión coincidente con la anchura de la banda de pavimento tacto visual de botones adyacente al bordillo, facilita sustancialmente su ejecución en</w:t>
      </w:r>
      <w:r w:rsidRPr="009B74F3">
        <w:rPr>
          <w:i/>
          <w:spacing w:val="-16"/>
          <w:lang w:val="es-ES"/>
        </w:rPr>
        <w:t xml:space="preserve"> </w:t>
      </w:r>
      <w:r w:rsidRPr="009B74F3">
        <w:rPr>
          <w:i/>
          <w:lang w:val="es-ES"/>
        </w:rPr>
        <w:t>obra.</w:t>
      </w:r>
    </w:p>
    <w:p w:rsidR="002B33F0" w:rsidRPr="009B74F3" w:rsidRDefault="009B74F3">
      <w:pPr>
        <w:pStyle w:val="Prrafodelista"/>
        <w:numPr>
          <w:ilvl w:val="0"/>
          <w:numId w:val="1"/>
        </w:numPr>
        <w:tabs>
          <w:tab w:val="left" w:pos="898"/>
        </w:tabs>
        <w:spacing w:line="276" w:lineRule="auto"/>
        <w:ind w:firstLine="0"/>
        <w:jc w:val="both"/>
        <w:rPr>
          <w:i/>
          <w:lang w:val="es-ES"/>
        </w:rPr>
      </w:pPr>
      <w:r w:rsidRPr="009B74F3">
        <w:rPr>
          <w:i/>
          <w:lang w:val="es-ES"/>
        </w:rPr>
        <w:t xml:space="preserve">En lo que se refiere a la </w:t>
      </w:r>
      <w:r w:rsidRPr="009B74F3">
        <w:rPr>
          <w:b/>
          <w:i/>
          <w:lang w:val="es-ES"/>
        </w:rPr>
        <w:t>anchura</w:t>
      </w:r>
      <w:r w:rsidRPr="009B74F3">
        <w:rPr>
          <w:b/>
          <w:i/>
          <w:lang w:val="es-ES"/>
        </w:rPr>
        <w:t xml:space="preserve"> total mínima de la acera </w:t>
      </w:r>
      <w:r w:rsidRPr="009B74F3">
        <w:rPr>
          <w:i/>
          <w:lang w:val="es-ES"/>
        </w:rPr>
        <w:t xml:space="preserve">para permitir la construcción de un vado peatonal de tres planos, se considera </w:t>
      </w:r>
      <w:r w:rsidRPr="009B74F3">
        <w:rPr>
          <w:b/>
          <w:i/>
          <w:lang w:val="es-ES"/>
        </w:rPr>
        <w:t xml:space="preserve">2,60 metros </w:t>
      </w:r>
      <w:r w:rsidRPr="009B74F3">
        <w:rPr>
          <w:i/>
          <w:lang w:val="es-ES"/>
        </w:rPr>
        <w:t>como la dimensión adecuada. Para anchuras menores se recomiendan otras soluciones, como rebajar la cota de la acera en toda su</w:t>
      </w:r>
      <w:r w:rsidRPr="009B74F3">
        <w:rPr>
          <w:i/>
          <w:spacing w:val="-7"/>
          <w:lang w:val="es-ES"/>
        </w:rPr>
        <w:t xml:space="preserve"> </w:t>
      </w:r>
      <w:r w:rsidRPr="009B74F3">
        <w:rPr>
          <w:i/>
          <w:lang w:val="es-ES"/>
        </w:rPr>
        <w:t>anchura.”</w:t>
      </w:r>
    </w:p>
    <w:sectPr w:rsidR="002B33F0" w:rsidRPr="009B74F3">
      <w:type w:val="continuous"/>
      <w:pgSz w:w="11910" w:h="16840"/>
      <w:pgMar w:top="7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52E36"/>
    <w:multiLevelType w:val="hybridMultilevel"/>
    <w:tmpl w:val="383A99EA"/>
    <w:lvl w:ilvl="0" w:tplc="2F982746">
      <w:start w:val="1"/>
      <w:numFmt w:val="decimal"/>
      <w:lvlText w:val="%1)"/>
      <w:lvlJc w:val="left"/>
      <w:pPr>
        <w:ind w:left="527" w:hanging="376"/>
        <w:jc w:val="left"/>
      </w:pPr>
      <w:rPr>
        <w:rFonts w:ascii="Calibri" w:eastAsia="Calibri" w:hAnsi="Calibri" w:cs="Calibri" w:hint="default"/>
        <w:i/>
        <w:w w:val="99"/>
        <w:sz w:val="22"/>
        <w:szCs w:val="22"/>
      </w:rPr>
    </w:lvl>
    <w:lvl w:ilvl="1" w:tplc="16F61A9C">
      <w:numFmt w:val="bullet"/>
      <w:lvlText w:val="•"/>
      <w:lvlJc w:val="left"/>
      <w:pPr>
        <w:ind w:left="1340" w:hanging="376"/>
      </w:pPr>
      <w:rPr>
        <w:rFonts w:hint="default"/>
      </w:rPr>
    </w:lvl>
    <w:lvl w:ilvl="2" w:tplc="4F32BCBA">
      <w:numFmt w:val="bullet"/>
      <w:lvlText w:val="•"/>
      <w:lvlJc w:val="left"/>
      <w:pPr>
        <w:ind w:left="2160" w:hanging="376"/>
      </w:pPr>
      <w:rPr>
        <w:rFonts w:hint="default"/>
      </w:rPr>
    </w:lvl>
    <w:lvl w:ilvl="3" w:tplc="E396899A">
      <w:numFmt w:val="bullet"/>
      <w:lvlText w:val="•"/>
      <w:lvlJc w:val="left"/>
      <w:pPr>
        <w:ind w:left="2981" w:hanging="376"/>
      </w:pPr>
      <w:rPr>
        <w:rFonts w:hint="default"/>
      </w:rPr>
    </w:lvl>
    <w:lvl w:ilvl="4" w:tplc="45484D3C">
      <w:numFmt w:val="bullet"/>
      <w:lvlText w:val="•"/>
      <w:lvlJc w:val="left"/>
      <w:pPr>
        <w:ind w:left="3801" w:hanging="376"/>
      </w:pPr>
      <w:rPr>
        <w:rFonts w:hint="default"/>
      </w:rPr>
    </w:lvl>
    <w:lvl w:ilvl="5" w:tplc="7242BAA8">
      <w:numFmt w:val="bullet"/>
      <w:lvlText w:val="•"/>
      <w:lvlJc w:val="left"/>
      <w:pPr>
        <w:ind w:left="4622" w:hanging="376"/>
      </w:pPr>
      <w:rPr>
        <w:rFonts w:hint="default"/>
      </w:rPr>
    </w:lvl>
    <w:lvl w:ilvl="6" w:tplc="54EC407A">
      <w:numFmt w:val="bullet"/>
      <w:lvlText w:val="•"/>
      <w:lvlJc w:val="left"/>
      <w:pPr>
        <w:ind w:left="5442" w:hanging="376"/>
      </w:pPr>
      <w:rPr>
        <w:rFonts w:hint="default"/>
      </w:rPr>
    </w:lvl>
    <w:lvl w:ilvl="7" w:tplc="D3224D3C">
      <w:numFmt w:val="bullet"/>
      <w:lvlText w:val="•"/>
      <w:lvlJc w:val="left"/>
      <w:pPr>
        <w:ind w:left="6263" w:hanging="376"/>
      </w:pPr>
      <w:rPr>
        <w:rFonts w:hint="default"/>
      </w:rPr>
    </w:lvl>
    <w:lvl w:ilvl="8" w:tplc="6850641A">
      <w:numFmt w:val="bullet"/>
      <w:lvlText w:val="•"/>
      <w:lvlJc w:val="left"/>
      <w:pPr>
        <w:ind w:left="7083" w:hanging="3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F0"/>
    <w:rsid w:val="002B33F0"/>
    <w:rsid w:val="009B74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D9BCD-5D0D-4F83-8A4C-6E9D141D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rPr>
  </w:style>
  <w:style w:type="paragraph" w:styleId="Prrafodelista">
    <w:name w:val="List Paragraph"/>
    <w:basedOn w:val="Normal"/>
    <w:uiPriority w:val="1"/>
    <w:qFormat/>
    <w:pPr>
      <w:spacing w:before="119"/>
      <w:ind w:left="527" w:right="53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Microsoft Word - criterio interpretación VADOS PEATONALES.doc</vt:lpstr>
    </vt:vector>
  </TitlesOfParts>
  <Company>Comunidad de Madrid</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criterio interpretación VADOS PEATONALES.doc</dc:title>
  <dc:creator>MDG64</dc:creator>
  <cp:lastModifiedBy>ALONSO RODRIGUEZ , ISABEL</cp:lastModifiedBy>
  <cp:revision>2</cp:revision>
  <dcterms:created xsi:type="dcterms:W3CDTF">2017-11-28T09:44:00Z</dcterms:created>
  <dcterms:modified xsi:type="dcterms:W3CDTF">2017-11-28T09:44:00Z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2017-11-28T00:00:00Z</vt:filetime>
  </property>
</Properties>
</file>