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0E27C" w14:textId="321ADCDC" w:rsidR="009B25A5" w:rsidRPr="007B23BD" w:rsidRDefault="009B25A5" w:rsidP="009B25A5">
      <w:pPr>
        <w:pStyle w:val="Cuerpodeltexto20"/>
        <w:shd w:val="clear" w:color="auto" w:fill="auto"/>
        <w:spacing w:before="0" w:after="37"/>
        <w:ind w:right="49" w:firstLine="0"/>
        <w:rPr>
          <w:rStyle w:val="Cuerpodeltexto2105ptoSincursiva"/>
          <w:b/>
        </w:rPr>
      </w:pPr>
      <w:r w:rsidRPr="007B23BD">
        <w:rPr>
          <w:rStyle w:val="Cuerpodeltexto2105ptoSincursiva"/>
          <w:b/>
        </w:rPr>
        <w:t>INFORME DE LA INTERVENCIÓN GENERAL DE LA COMUNIDAD DE MADRID DE 1</w:t>
      </w:r>
      <w:r>
        <w:rPr>
          <w:rStyle w:val="Cuerpodeltexto2105ptoSincursiva"/>
          <w:b/>
        </w:rPr>
        <w:t>0</w:t>
      </w:r>
      <w:r w:rsidRPr="007B23BD">
        <w:rPr>
          <w:rStyle w:val="Cuerpodeltexto2105ptoSincursiva"/>
          <w:b/>
        </w:rPr>
        <w:t xml:space="preserve"> DE AGOSTO DE 2022. CONTRATO</w:t>
      </w:r>
      <w:r>
        <w:rPr>
          <w:rStyle w:val="Cuerpodeltexto2105ptoSincursiva"/>
          <w:b/>
        </w:rPr>
        <w:t xml:space="preserve"> DE OBRAS. INCLUSIÓN DE PRECIOS NUEVOS POR EL PROCEDIMIENTO DEL ARTÍCULO 242.4. ii LCSP. CONCEPTO DE UNIDAD DE OBRA.</w:t>
      </w:r>
    </w:p>
    <w:p w14:paraId="001D9F39" w14:textId="2BEEBFC6" w:rsidR="009B25A5" w:rsidRDefault="009B25A5" w:rsidP="009B25A5">
      <w:pPr>
        <w:pStyle w:val="Cuerpodeltexto20"/>
        <w:shd w:val="clear" w:color="auto" w:fill="auto"/>
        <w:spacing w:before="0" w:after="37"/>
        <w:ind w:right="580" w:firstLine="0"/>
        <w:rPr>
          <w:rStyle w:val="Cuerpodeltexto2105ptoSincursiva"/>
        </w:rPr>
      </w:pPr>
    </w:p>
    <w:p w14:paraId="0B71EE9B" w14:textId="5E5912C4" w:rsidR="009B25A5" w:rsidRDefault="009B25A5" w:rsidP="009B25A5">
      <w:pPr>
        <w:rPr>
          <w:rFonts w:ascii="Arial" w:eastAsia="Calibri" w:hAnsi="Arial" w:cs="Arial"/>
          <w:b/>
          <w:sz w:val="22"/>
          <w:szCs w:val="22"/>
          <w:lang w:eastAsia="en-US"/>
        </w:rPr>
      </w:pPr>
      <w:r w:rsidRPr="007B23BD">
        <w:rPr>
          <w:rFonts w:ascii="Arial" w:eastAsia="Calibri" w:hAnsi="Arial" w:cs="Arial"/>
          <w:b/>
          <w:sz w:val="22"/>
          <w:szCs w:val="22"/>
          <w:lang w:eastAsia="en-US"/>
        </w:rPr>
        <w:t xml:space="preserve">Modalidad de informe: </w:t>
      </w:r>
      <w:r>
        <w:rPr>
          <w:rFonts w:ascii="Arial" w:eastAsia="Calibri" w:hAnsi="Arial" w:cs="Arial"/>
          <w:b/>
          <w:sz w:val="22"/>
          <w:szCs w:val="22"/>
          <w:lang w:eastAsia="en-US"/>
        </w:rPr>
        <w:t>Discrepancia</w:t>
      </w:r>
    </w:p>
    <w:p w14:paraId="2CDB59D2" w14:textId="77777777" w:rsidR="009B25A5" w:rsidRDefault="009B25A5" w:rsidP="009B25A5">
      <w:pPr>
        <w:rPr>
          <w:rFonts w:ascii="Arial" w:eastAsia="Calibri" w:hAnsi="Arial" w:cs="Arial"/>
          <w:b/>
          <w:sz w:val="22"/>
          <w:szCs w:val="22"/>
          <w:lang w:eastAsia="en-US"/>
        </w:rPr>
      </w:pPr>
      <w:r w:rsidRPr="007B23BD">
        <w:rPr>
          <w:rFonts w:ascii="Arial" w:eastAsia="Calibri" w:hAnsi="Arial" w:cs="Arial"/>
          <w:b/>
          <w:sz w:val="22"/>
          <w:szCs w:val="22"/>
          <w:lang w:eastAsia="en-US"/>
        </w:rPr>
        <w:t xml:space="preserve">Áreas temáticas: Contratación. </w:t>
      </w:r>
    </w:p>
    <w:p w14:paraId="7611A744" w14:textId="77777777" w:rsidR="009B25A5" w:rsidRPr="007B23BD" w:rsidRDefault="009B25A5" w:rsidP="009B25A5">
      <w:pPr>
        <w:rPr>
          <w:rFonts w:ascii="Arial" w:eastAsia="Calibri" w:hAnsi="Arial" w:cs="Arial"/>
          <w:b/>
          <w:sz w:val="22"/>
          <w:szCs w:val="22"/>
          <w:lang w:eastAsia="en-US"/>
        </w:rPr>
      </w:pPr>
      <w:r w:rsidRPr="007B23BD">
        <w:rPr>
          <w:rFonts w:ascii="Arial" w:eastAsia="Calibri" w:hAnsi="Arial" w:cs="Arial"/>
          <w:b/>
          <w:sz w:val="22"/>
          <w:szCs w:val="22"/>
          <w:lang w:eastAsia="en-US"/>
        </w:rPr>
        <w:t>Informe vigente</w:t>
      </w:r>
    </w:p>
    <w:p w14:paraId="77780C8D" w14:textId="3E20F2C7" w:rsidR="00A07E6E" w:rsidRDefault="00A07E6E" w:rsidP="00A07E6E">
      <w:pPr>
        <w:jc w:val="both"/>
        <w:rPr>
          <w:rFonts w:ascii="Arial" w:hAnsi="Arial" w:cs="Arial"/>
          <w:sz w:val="22"/>
          <w:szCs w:val="22"/>
        </w:rPr>
      </w:pPr>
    </w:p>
    <w:p w14:paraId="110E801B" w14:textId="77777777" w:rsidR="00D416B3" w:rsidRPr="0045713D" w:rsidRDefault="00D416B3" w:rsidP="00A07E6E">
      <w:pPr>
        <w:jc w:val="both"/>
        <w:rPr>
          <w:rFonts w:ascii="Arial" w:hAnsi="Arial" w:cs="Arial"/>
          <w:sz w:val="22"/>
          <w:szCs w:val="22"/>
        </w:rPr>
      </w:pPr>
    </w:p>
    <w:p w14:paraId="4A26834E" w14:textId="6597798F" w:rsidR="00B54911" w:rsidRPr="0045713D" w:rsidRDefault="006D26DB" w:rsidP="00A07E6E">
      <w:pPr>
        <w:jc w:val="both"/>
        <w:rPr>
          <w:rFonts w:ascii="Arial" w:hAnsi="Arial" w:cs="Arial"/>
          <w:sz w:val="22"/>
          <w:szCs w:val="22"/>
        </w:rPr>
      </w:pPr>
      <w:r w:rsidRPr="0045713D">
        <w:rPr>
          <w:rFonts w:ascii="Arial" w:hAnsi="Arial" w:cs="Arial"/>
          <w:sz w:val="22"/>
          <w:szCs w:val="22"/>
        </w:rPr>
        <w:t>Se recibe</w:t>
      </w:r>
      <w:r w:rsidR="00C2002F" w:rsidRPr="0045713D">
        <w:rPr>
          <w:rFonts w:ascii="Arial" w:hAnsi="Arial" w:cs="Arial"/>
          <w:sz w:val="22"/>
          <w:szCs w:val="22"/>
        </w:rPr>
        <w:t>, el 18 de julio de 2022,</w:t>
      </w:r>
      <w:r w:rsidRPr="0045713D">
        <w:rPr>
          <w:rFonts w:ascii="Arial" w:hAnsi="Arial" w:cs="Arial"/>
          <w:sz w:val="22"/>
          <w:szCs w:val="22"/>
        </w:rPr>
        <w:t xml:space="preserve"> en esta Intervención General procedente de la Consejería</w:t>
      </w:r>
      <w:r w:rsidR="00BD4A24" w:rsidRPr="0045713D">
        <w:rPr>
          <w:rFonts w:ascii="Arial" w:hAnsi="Arial" w:cs="Arial"/>
          <w:sz w:val="22"/>
          <w:szCs w:val="22"/>
        </w:rPr>
        <w:t xml:space="preserve"> de Transportes e Infraestructuras</w:t>
      </w:r>
      <w:r w:rsidR="00C2002F" w:rsidRPr="0045713D">
        <w:rPr>
          <w:rFonts w:ascii="Arial" w:hAnsi="Arial" w:cs="Arial"/>
          <w:sz w:val="22"/>
          <w:szCs w:val="22"/>
        </w:rPr>
        <w:t xml:space="preserve"> -Dirección General de Infraestructuras de Transporte Colectivo-</w:t>
      </w:r>
      <w:r w:rsidR="00BD4A24" w:rsidRPr="0045713D">
        <w:rPr>
          <w:rFonts w:ascii="Arial" w:hAnsi="Arial" w:cs="Arial"/>
          <w:sz w:val="22"/>
          <w:szCs w:val="22"/>
        </w:rPr>
        <w:t xml:space="preserve"> discrepancia al amparo del artículo 88.1.a) de la Ley 9/1990, de 8 de noviembre, reguladora de la Hacienda de la Comunidad de Madrid, </w:t>
      </w:r>
      <w:r w:rsidR="002B563E" w:rsidRPr="0045713D">
        <w:rPr>
          <w:rFonts w:ascii="Arial" w:hAnsi="Arial" w:cs="Arial"/>
          <w:sz w:val="22"/>
          <w:szCs w:val="22"/>
        </w:rPr>
        <w:t>en relación con la certificación 7ª y última del contrato de obras denominado “</w:t>
      </w:r>
      <w:r w:rsidR="002B563E" w:rsidRPr="0045713D">
        <w:rPr>
          <w:rFonts w:ascii="Arial" w:hAnsi="Arial" w:cs="Arial"/>
          <w:i/>
          <w:sz w:val="22"/>
          <w:szCs w:val="22"/>
        </w:rPr>
        <w:t>proyecto de urbanización de la calle Montera entre las calles Gran Vía y Jardines y de la calle Caballero de Gracia de Madrid</w:t>
      </w:r>
      <w:r w:rsidR="002B563E" w:rsidRPr="0045713D">
        <w:rPr>
          <w:rFonts w:ascii="Arial" w:hAnsi="Arial" w:cs="Arial"/>
          <w:sz w:val="22"/>
          <w:szCs w:val="22"/>
        </w:rPr>
        <w:t xml:space="preserve">” </w:t>
      </w:r>
      <w:r w:rsidR="00BD4A24" w:rsidRPr="0045713D">
        <w:rPr>
          <w:rFonts w:ascii="Arial" w:hAnsi="Arial" w:cs="Arial"/>
          <w:sz w:val="22"/>
          <w:szCs w:val="22"/>
        </w:rPr>
        <w:t>al con</w:t>
      </w:r>
      <w:r w:rsidR="00B54911" w:rsidRPr="0045713D">
        <w:rPr>
          <w:rFonts w:ascii="Arial" w:hAnsi="Arial" w:cs="Arial"/>
          <w:sz w:val="22"/>
          <w:szCs w:val="22"/>
        </w:rPr>
        <w:t>siderar que no pr</w:t>
      </w:r>
      <w:r w:rsidR="00C1117A" w:rsidRPr="0045713D">
        <w:rPr>
          <w:rFonts w:ascii="Arial" w:hAnsi="Arial" w:cs="Arial"/>
          <w:sz w:val="22"/>
          <w:szCs w:val="22"/>
        </w:rPr>
        <w:t>ocede modificación del contrato en el expediente fiscalizado desfavorablemente</w:t>
      </w:r>
      <w:r w:rsidR="006D01F1" w:rsidRPr="0045713D">
        <w:rPr>
          <w:rFonts w:ascii="Arial" w:hAnsi="Arial" w:cs="Arial"/>
          <w:sz w:val="22"/>
          <w:szCs w:val="22"/>
        </w:rPr>
        <w:t xml:space="preserve"> -reparo de </w:t>
      </w:r>
      <w:r w:rsidR="002B563E" w:rsidRPr="0045713D">
        <w:rPr>
          <w:rFonts w:ascii="Arial" w:hAnsi="Arial" w:cs="Arial"/>
          <w:sz w:val="22"/>
          <w:szCs w:val="22"/>
        </w:rPr>
        <w:t xml:space="preserve">la Intervención delegada en la Consejería de Transportes de </w:t>
      </w:r>
      <w:r w:rsidR="006D01F1" w:rsidRPr="0045713D">
        <w:rPr>
          <w:rFonts w:ascii="Arial" w:hAnsi="Arial" w:cs="Arial"/>
          <w:sz w:val="22"/>
          <w:szCs w:val="22"/>
        </w:rPr>
        <w:t>fecha 28 de octubre de 2021 con número de referencia 65/563651.9/21-</w:t>
      </w:r>
    </w:p>
    <w:p w14:paraId="42882DFD" w14:textId="77777777" w:rsidR="00B54911" w:rsidRPr="0045713D" w:rsidRDefault="00B54911" w:rsidP="00A07E6E">
      <w:pPr>
        <w:jc w:val="both"/>
        <w:rPr>
          <w:rFonts w:ascii="Arial" w:hAnsi="Arial" w:cs="Arial"/>
          <w:sz w:val="22"/>
          <w:szCs w:val="22"/>
        </w:rPr>
      </w:pPr>
    </w:p>
    <w:p w14:paraId="7D5916E7" w14:textId="68DF7B7C" w:rsidR="00B54911" w:rsidRPr="0045713D" w:rsidRDefault="00B54911" w:rsidP="00A07E6E">
      <w:pPr>
        <w:jc w:val="both"/>
        <w:rPr>
          <w:rFonts w:ascii="Arial" w:hAnsi="Arial" w:cs="Arial"/>
          <w:sz w:val="22"/>
          <w:szCs w:val="22"/>
        </w:rPr>
      </w:pPr>
      <w:r w:rsidRPr="0045713D">
        <w:rPr>
          <w:rFonts w:ascii="Arial" w:hAnsi="Arial" w:cs="Arial"/>
          <w:sz w:val="22"/>
          <w:szCs w:val="22"/>
        </w:rPr>
        <w:t>La discrepancia trae causa de los siguientes</w:t>
      </w:r>
      <w:r w:rsidR="001441C4" w:rsidRPr="0045713D">
        <w:rPr>
          <w:rFonts w:ascii="Arial" w:hAnsi="Arial" w:cs="Arial"/>
          <w:sz w:val="22"/>
          <w:szCs w:val="22"/>
        </w:rPr>
        <w:t>,</w:t>
      </w:r>
    </w:p>
    <w:p w14:paraId="5DD08D82" w14:textId="77777777" w:rsidR="00B54911" w:rsidRPr="0045713D" w:rsidRDefault="00B54911" w:rsidP="00A07E6E">
      <w:pPr>
        <w:jc w:val="both"/>
        <w:rPr>
          <w:rFonts w:ascii="Arial" w:hAnsi="Arial" w:cs="Arial"/>
          <w:sz w:val="22"/>
          <w:szCs w:val="22"/>
        </w:rPr>
      </w:pPr>
    </w:p>
    <w:p w14:paraId="433461D2" w14:textId="77777777" w:rsidR="00A07E6E" w:rsidRPr="0045713D" w:rsidRDefault="00A07E6E" w:rsidP="00A07E6E">
      <w:pPr>
        <w:jc w:val="center"/>
        <w:rPr>
          <w:rFonts w:ascii="Arial" w:hAnsi="Arial" w:cs="Arial"/>
          <w:b/>
          <w:sz w:val="22"/>
          <w:szCs w:val="22"/>
        </w:rPr>
      </w:pPr>
    </w:p>
    <w:p w14:paraId="24D19C27" w14:textId="2828E05F" w:rsidR="00B54911" w:rsidRPr="0045713D" w:rsidRDefault="00B54911" w:rsidP="00A07E6E">
      <w:pPr>
        <w:jc w:val="center"/>
        <w:rPr>
          <w:rFonts w:ascii="Arial" w:hAnsi="Arial" w:cs="Arial"/>
          <w:b/>
          <w:sz w:val="22"/>
          <w:szCs w:val="22"/>
        </w:rPr>
      </w:pPr>
      <w:r w:rsidRPr="0045713D">
        <w:rPr>
          <w:rFonts w:ascii="Arial" w:hAnsi="Arial" w:cs="Arial"/>
          <w:b/>
          <w:sz w:val="22"/>
          <w:szCs w:val="22"/>
        </w:rPr>
        <w:t>ANTECEDENTES</w:t>
      </w:r>
    </w:p>
    <w:p w14:paraId="336434BA" w14:textId="77777777" w:rsidR="00A07E6E" w:rsidRPr="0045713D" w:rsidRDefault="00A07E6E" w:rsidP="00A07E6E">
      <w:pPr>
        <w:jc w:val="center"/>
        <w:rPr>
          <w:rFonts w:ascii="Arial" w:hAnsi="Arial" w:cs="Arial"/>
          <w:b/>
          <w:sz w:val="22"/>
          <w:szCs w:val="22"/>
        </w:rPr>
      </w:pPr>
    </w:p>
    <w:p w14:paraId="18605B89" w14:textId="77777777" w:rsidR="00B54911" w:rsidRPr="0045713D" w:rsidRDefault="00B54911" w:rsidP="00A07E6E">
      <w:pPr>
        <w:jc w:val="both"/>
        <w:rPr>
          <w:rFonts w:ascii="Arial" w:hAnsi="Arial" w:cs="Arial"/>
          <w:b/>
          <w:sz w:val="22"/>
          <w:szCs w:val="22"/>
        </w:rPr>
      </w:pPr>
    </w:p>
    <w:p w14:paraId="43A468AB" w14:textId="1D39CAE3" w:rsidR="00373FE2" w:rsidRPr="0045713D" w:rsidRDefault="00373FE2" w:rsidP="00A07E6E">
      <w:pPr>
        <w:pStyle w:val="Prrafodelista"/>
        <w:numPr>
          <w:ilvl w:val="0"/>
          <w:numId w:val="27"/>
        </w:numPr>
        <w:spacing w:after="0" w:line="240" w:lineRule="auto"/>
        <w:jc w:val="both"/>
        <w:rPr>
          <w:rFonts w:cs="Arial"/>
          <w:b/>
        </w:rPr>
      </w:pPr>
      <w:r w:rsidRPr="0045713D">
        <w:rPr>
          <w:rFonts w:cs="Arial"/>
        </w:rPr>
        <w:t>En el ejercicio 2020</w:t>
      </w:r>
      <w:r w:rsidR="002265B9" w:rsidRPr="0045713D">
        <w:rPr>
          <w:rFonts w:cs="Arial"/>
        </w:rPr>
        <w:t xml:space="preserve"> se adjudicó </w:t>
      </w:r>
      <w:r w:rsidR="00E71F15" w:rsidRPr="0045713D">
        <w:rPr>
          <w:rFonts w:cs="Arial"/>
        </w:rPr>
        <w:t>a la mercantil Cons</w:t>
      </w:r>
      <w:r w:rsidR="0063159B" w:rsidRPr="0045713D">
        <w:rPr>
          <w:rFonts w:cs="Arial"/>
        </w:rPr>
        <w:t>trucciones Sánchez Domí</w:t>
      </w:r>
      <w:r w:rsidR="00E71F15" w:rsidRPr="0045713D">
        <w:rPr>
          <w:rFonts w:cs="Arial"/>
        </w:rPr>
        <w:t>nguez-</w:t>
      </w:r>
      <w:proofErr w:type="spellStart"/>
      <w:r w:rsidR="00E71F15" w:rsidRPr="0045713D">
        <w:rPr>
          <w:rFonts w:cs="Arial"/>
        </w:rPr>
        <w:t>SANDO</w:t>
      </w:r>
      <w:proofErr w:type="spellEnd"/>
      <w:r w:rsidR="00E71F15" w:rsidRPr="0045713D">
        <w:rPr>
          <w:rFonts w:cs="Arial"/>
        </w:rPr>
        <w:t>, S.A. el contrato de obras denominado “</w:t>
      </w:r>
      <w:r w:rsidRPr="0045713D">
        <w:rPr>
          <w:rFonts w:cs="Arial"/>
        </w:rPr>
        <w:t xml:space="preserve">PROYECTO DE URBANIZACIÓN DE LA CALLE MONTERA ENTRE LAS CALLES GRAN VÍA Y JARDINES Y DE LA CALLE CABALLERO DE GRACIA DE MADRID.” </w:t>
      </w:r>
    </w:p>
    <w:p w14:paraId="35A137F9" w14:textId="77777777" w:rsidR="00A07E6E" w:rsidRPr="0045713D" w:rsidRDefault="00A07E6E" w:rsidP="00A07E6E">
      <w:pPr>
        <w:pStyle w:val="Prrafodelista"/>
        <w:spacing w:after="0" w:line="240" w:lineRule="auto"/>
        <w:ind w:left="720"/>
        <w:jc w:val="both"/>
        <w:rPr>
          <w:rFonts w:cs="Arial"/>
          <w:b/>
        </w:rPr>
      </w:pPr>
    </w:p>
    <w:p w14:paraId="1550300E" w14:textId="01B0A4F6" w:rsidR="00B54911" w:rsidRPr="0045713D" w:rsidRDefault="00373FE2" w:rsidP="00A07E6E">
      <w:pPr>
        <w:ind w:left="360"/>
        <w:jc w:val="both"/>
        <w:rPr>
          <w:rFonts w:ascii="Arial" w:hAnsi="Arial" w:cs="Arial"/>
          <w:sz w:val="22"/>
          <w:szCs w:val="22"/>
        </w:rPr>
      </w:pPr>
      <w:r w:rsidRPr="0045713D">
        <w:rPr>
          <w:rFonts w:ascii="Arial" w:hAnsi="Arial" w:cs="Arial"/>
          <w:sz w:val="22"/>
          <w:szCs w:val="22"/>
        </w:rPr>
        <w:t>La ejecución del contrato comenzó el 22 de enero de 2021 y finalizó el 30 de julio de ese año.</w:t>
      </w:r>
    </w:p>
    <w:p w14:paraId="70B5145B" w14:textId="77777777" w:rsidR="00A07E6E" w:rsidRPr="0045713D" w:rsidRDefault="00A07E6E" w:rsidP="00A07E6E">
      <w:pPr>
        <w:pStyle w:val="Prrafodelista"/>
        <w:spacing w:after="0" w:line="240" w:lineRule="auto"/>
        <w:ind w:left="720"/>
        <w:jc w:val="both"/>
        <w:rPr>
          <w:rFonts w:cs="Arial"/>
          <w:b/>
        </w:rPr>
      </w:pPr>
    </w:p>
    <w:p w14:paraId="40504AF3" w14:textId="2A2426CB" w:rsidR="00373FE2" w:rsidRPr="0045713D" w:rsidRDefault="00373FE2" w:rsidP="00A07E6E">
      <w:pPr>
        <w:ind w:left="360"/>
        <w:jc w:val="both"/>
        <w:rPr>
          <w:rFonts w:cs="Arial"/>
          <w:b/>
        </w:rPr>
      </w:pPr>
      <w:r w:rsidRPr="0045713D">
        <w:rPr>
          <w:rFonts w:ascii="Arial" w:hAnsi="Arial" w:cs="Arial"/>
          <w:sz w:val="22"/>
          <w:szCs w:val="22"/>
        </w:rPr>
        <w:t>Con fecha 2 de agosto de 2021</w:t>
      </w:r>
      <w:r w:rsidR="00D5141B" w:rsidRPr="0045713D">
        <w:rPr>
          <w:rFonts w:ascii="Arial" w:hAnsi="Arial" w:cs="Arial"/>
          <w:sz w:val="22"/>
          <w:szCs w:val="22"/>
        </w:rPr>
        <w:t xml:space="preserve"> se envió a la Intervención Delegada en la Consejería Transportes e Infraestructuras</w:t>
      </w:r>
      <w:r w:rsidR="00DB196A" w:rsidRPr="0045713D">
        <w:rPr>
          <w:rFonts w:ascii="Arial" w:hAnsi="Arial" w:cs="Arial"/>
          <w:sz w:val="22"/>
          <w:szCs w:val="22"/>
        </w:rPr>
        <w:t xml:space="preserve"> la certificación 7ª y última correspondiente a dicho contrato para cuyo pago se elaboró el documento contable </w:t>
      </w:r>
      <w:r w:rsidR="00761806" w:rsidRPr="0045713D">
        <w:rPr>
          <w:rFonts w:ascii="Arial" w:hAnsi="Arial" w:cs="Arial"/>
          <w:sz w:val="22"/>
          <w:szCs w:val="22"/>
        </w:rPr>
        <w:t>OK/2021/0000472630</w:t>
      </w:r>
      <w:r w:rsidR="00DB196A" w:rsidRPr="0045713D">
        <w:rPr>
          <w:rFonts w:ascii="Arial" w:hAnsi="Arial" w:cs="Arial"/>
          <w:sz w:val="22"/>
          <w:szCs w:val="22"/>
        </w:rPr>
        <w:t>.</w:t>
      </w:r>
    </w:p>
    <w:p w14:paraId="47F0FBC2" w14:textId="77777777" w:rsidR="00A07E6E" w:rsidRPr="0045713D" w:rsidRDefault="00A07E6E" w:rsidP="00A07E6E">
      <w:pPr>
        <w:pStyle w:val="Prrafodelista"/>
        <w:spacing w:after="0" w:line="240" w:lineRule="auto"/>
        <w:ind w:left="720"/>
        <w:jc w:val="both"/>
        <w:rPr>
          <w:rFonts w:cs="Arial"/>
          <w:b/>
        </w:rPr>
      </w:pPr>
    </w:p>
    <w:p w14:paraId="63581927" w14:textId="0290CAA1" w:rsidR="00DB196A" w:rsidRPr="0045713D" w:rsidRDefault="00D5141B" w:rsidP="00A07E6E">
      <w:pPr>
        <w:ind w:left="360"/>
        <w:jc w:val="both"/>
        <w:rPr>
          <w:rFonts w:ascii="Arial" w:hAnsi="Arial" w:cs="Arial"/>
          <w:sz w:val="22"/>
          <w:szCs w:val="22"/>
        </w:rPr>
      </w:pPr>
      <w:r w:rsidRPr="0045713D">
        <w:rPr>
          <w:rFonts w:ascii="Arial" w:hAnsi="Arial" w:cs="Arial"/>
          <w:sz w:val="22"/>
          <w:szCs w:val="22"/>
        </w:rPr>
        <w:t>Dicha</w:t>
      </w:r>
      <w:r w:rsidR="00DB196A" w:rsidRPr="0045713D">
        <w:rPr>
          <w:rFonts w:ascii="Arial" w:hAnsi="Arial" w:cs="Arial"/>
          <w:sz w:val="22"/>
          <w:szCs w:val="22"/>
        </w:rPr>
        <w:t xml:space="preserve"> Intervención Delegada </w:t>
      </w:r>
      <w:r w:rsidR="00761806" w:rsidRPr="0045713D">
        <w:rPr>
          <w:rFonts w:ascii="Arial" w:hAnsi="Arial" w:cs="Arial"/>
          <w:sz w:val="22"/>
          <w:szCs w:val="22"/>
        </w:rPr>
        <w:t>en la Consejería</w:t>
      </w:r>
      <w:r w:rsidR="00645863" w:rsidRPr="0045713D">
        <w:rPr>
          <w:rFonts w:ascii="Arial" w:hAnsi="Arial" w:cs="Arial"/>
          <w:sz w:val="22"/>
          <w:szCs w:val="22"/>
        </w:rPr>
        <w:t xml:space="preserve"> Transportes e Infraestructuras formula nota de reparo</w:t>
      </w:r>
      <w:r w:rsidRPr="0045713D">
        <w:rPr>
          <w:rFonts w:ascii="Arial" w:hAnsi="Arial" w:cs="Arial"/>
          <w:sz w:val="22"/>
          <w:szCs w:val="22"/>
        </w:rPr>
        <w:t xml:space="preserve"> a dicho documento </w:t>
      </w:r>
      <w:r w:rsidR="00645863" w:rsidRPr="0045713D">
        <w:rPr>
          <w:rFonts w:ascii="Arial" w:hAnsi="Arial" w:cs="Arial"/>
          <w:sz w:val="22"/>
          <w:szCs w:val="22"/>
        </w:rPr>
        <w:t xml:space="preserve">con </w:t>
      </w:r>
      <w:r w:rsidRPr="0045713D">
        <w:rPr>
          <w:rFonts w:ascii="Arial" w:hAnsi="Arial" w:cs="Arial"/>
          <w:sz w:val="22"/>
          <w:szCs w:val="22"/>
        </w:rPr>
        <w:t xml:space="preserve">base en </w:t>
      </w:r>
      <w:r w:rsidR="001441C4" w:rsidRPr="0045713D">
        <w:rPr>
          <w:rFonts w:ascii="Arial" w:hAnsi="Arial" w:cs="Arial"/>
          <w:sz w:val="22"/>
          <w:szCs w:val="22"/>
        </w:rPr>
        <w:t>cinco</w:t>
      </w:r>
      <w:r w:rsidR="00645863" w:rsidRPr="0045713D">
        <w:rPr>
          <w:rFonts w:ascii="Arial" w:hAnsi="Arial" w:cs="Arial"/>
          <w:sz w:val="22"/>
          <w:szCs w:val="22"/>
        </w:rPr>
        <w:t xml:space="preserve"> motivos</w:t>
      </w:r>
      <w:r w:rsidRPr="0045713D">
        <w:rPr>
          <w:rFonts w:ascii="Arial" w:hAnsi="Arial" w:cs="Arial"/>
          <w:sz w:val="22"/>
          <w:szCs w:val="22"/>
        </w:rPr>
        <w:t>:</w:t>
      </w:r>
    </w:p>
    <w:p w14:paraId="4FA8CE4C" w14:textId="77777777" w:rsidR="00A07E6E" w:rsidRPr="0045713D" w:rsidRDefault="00A07E6E" w:rsidP="00A07E6E">
      <w:pPr>
        <w:pStyle w:val="Prrafodelista"/>
        <w:spacing w:after="0" w:line="240" w:lineRule="auto"/>
        <w:ind w:left="720"/>
        <w:jc w:val="both"/>
        <w:rPr>
          <w:rFonts w:cs="Arial"/>
        </w:rPr>
      </w:pPr>
    </w:p>
    <w:p w14:paraId="45C9D4F2" w14:textId="3AA25612" w:rsidR="00645863" w:rsidRPr="0045713D" w:rsidRDefault="00645863" w:rsidP="00A07E6E">
      <w:pPr>
        <w:pStyle w:val="Prrafodelista"/>
        <w:spacing w:after="0" w:line="240" w:lineRule="auto"/>
        <w:ind w:left="720"/>
        <w:jc w:val="both"/>
        <w:rPr>
          <w:rFonts w:cs="Arial"/>
          <w:i/>
        </w:rPr>
      </w:pPr>
      <w:r w:rsidRPr="0045713D">
        <w:rPr>
          <w:rFonts w:cs="Arial"/>
          <w:i/>
        </w:rPr>
        <w:t>“1. Hay partidas en las que en el informe técnico sobre las unidades no ejecutables y los excesos de medición de fecha 2 de agosto de 2021 se indica que las unidades de dichas partidas no se van a ejecutar para compensar excesos de medición, dichas partidas también figuran en el informe técnico de los precios nuevos de fecha 2 de agosto de 2021 como partidas que se van a ver afectadas por dichos precios nuevos y cuya suma de unidades resultante de ambos informes excede de las pendientes de ejecutar.</w:t>
      </w:r>
    </w:p>
    <w:p w14:paraId="00CCB900" w14:textId="77777777" w:rsidR="00A07E6E" w:rsidRPr="0045713D" w:rsidRDefault="00A07E6E" w:rsidP="00A07E6E">
      <w:pPr>
        <w:pStyle w:val="Prrafodelista"/>
        <w:spacing w:after="0" w:line="240" w:lineRule="auto"/>
        <w:ind w:left="720"/>
        <w:jc w:val="both"/>
        <w:rPr>
          <w:rFonts w:cs="Arial"/>
          <w:i/>
        </w:rPr>
      </w:pPr>
    </w:p>
    <w:p w14:paraId="6AFB1157" w14:textId="5F101E51" w:rsidR="00645863" w:rsidRPr="0045713D" w:rsidRDefault="00645863" w:rsidP="00A07E6E">
      <w:pPr>
        <w:pStyle w:val="Prrafodelista"/>
        <w:spacing w:after="0" w:line="240" w:lineRule="auto"/>
        <w:ind w:left="720"/>
        <w:jc w:val="both"/>
        <w:rPr>
          <w:rFonts w:cs="Arial"/>
          <w:i/>
        </w:rPr>
      </w:pPr>
      <w:r w:rsidRPr="0045713D">
        <w:rPr>
          <w:rFonts w:cs="Arial"/>
          <w:i/>
        </w:rPr>
        <w:t>2. Hay partidas en las que el número de unidades pendientes de ejecutar es inferior a las que se indican en el informe técnico de los precios nuevos como unidades que se van a ver afectadas por los mismos.</w:t>
      </w:r>
    </w:p>
    <w:p w14:paraId="0867F421" w14:textId="77777777" w:rsidR="00A07E6E" w:rsidRPr="0045713D" w:rsidRDefault="00A07E6E" w:rsidP="00A07E6E">
      <w:pPr>
        <w:pStyle w:val="Prrafodelista"/>
        <w:spacing w:after="0" w:line="240" w:lineRule="auto"/>
        <w:ind w:left="720"/>
        <w:jc w:val="both"/>
        <w:rPr>
          <w:rFonts w:cs="Arial"/>
          <w:i/>
        </w:rPr>
      </w:pPr>
    </w:p>
    <w:p w14:paraId="3CD5371C" w14:textId="7BDE46AA" w:rsidR="00645863" w:rsidRPr="0045713D" w:rsidRDefault="00645863" w:rsidP="00A07E6E">
      <w:pPr>
        <w:pStyle w:val="Prrafodelista"/>
        <w:spacing w:after="0" w:line="240" w:lineRule="auto"/>
        <w:ind w:left="720"/>
        <w:jc w:val="both"/>
        <w:rPr>
          <w:rFonts w:cs="Arial"/>
          <w:i/>
        </w:rPr>
      </w:pPr>
      <w:r w:rsidRPr="0045713D">
        <w:rPr>
          <w:rFonts w:cs="Arial"/>
          <w:i/>
        </w:rPr>
        <w:lastRenderedPageBreak/>
        <w:t>3. Hay partidas en las que se han certificado excesos de medición y a su vez también se recogen en el informe técnico de los precios nuevos como unidades que se van a ver afectadas por los mismos.</w:t>
      </w:r>
    </w:p>
    <w:p w14:paraId="1949F034" w14:textId="77777777" w:rsidR="00A07E6E" w:rsidRPr="0045713D" w:rsidRDefault="00A07E6E" w:rsidP="00A07E6E">
      <w:pPr>
        <w:pStyle w:val="Prrafodelista"/>
        <w:spacing w:after="0" w:line="240" w:lineRule="auto"/>
        <w:ind w:left="720"/>
        <w:jc w:val="both"/>
        <w:rPr>
          <w:rFonts w:cs="Arial"/>
          <w:i/>
        </w:rPr>
      </w:pPr>
    </w:p>
    <w:p w14:paraId="5AAFF46D" w14:textId="0CB2A0FB" w:rsidR="00645863" w:rsidRPr="0045713D" w:rsidRDefault="00645863" w:rsidP="00A07E6E">
      <w:pPr>
        <w:pStyle w:val="Prrafodelista"/>
        <w:spacing w:after="0" w:line="240" w:lineRule="auto"/>
        <w:ind w:left="720"/>
        <w:jc w:val="both"/>
        <w:rPr>
          <w:rFonts w:cs="Arial"/>
          <w:i/>
        </w:rPr>
      </w:pPr>
      <w:r w:rsidRPr="0045713D">
        <w:rPr>
          <w:rFonts w:cs="Arial"/>
          <w:i/>
        </w:rPr>
        <w:t>4. Hay partidas en las que se han certificado excesos de medición y a su vez se indican que las mismas no van a ejecutarse para compensar excesos de medición y también se recogen en el informe técnico de los precios nuevos como unidades que se van a ver afectadas por los mismos.</w:t>
      </w:r>
    </w:p>
    <w:p w14:paraId="3BD66220" w14:textId="77777777" w:rsidR="001441C4" w:rsidRPr="0045713D" w:rsidRDefault="001441C4" w:rsidP="00A07E6E">
      <w:pPr>
        <w:pStyle w:val="Prrafodelista"/>
        <w:spacing w:after="0" w:line="240" w:lineRule="auto"/>
        <w:ind w:left="720"/>
        <w:jc w:val="both"/>
        <w:rPr>
          <w:rFonts w:cs="Arial"/>
          <w:i/>
        </w:rPr>
      </w:pPr>
    </w:p>
    <w:p w14:paraId="2B40EFD6" w14:textId="697F25E9" w:rsidR="00645863" w:rsidRPr="0045713D" w:rsidRDefault="00645863" w:rsidP="00A07E6E">
      <w:pPr>
        <w:pStyle w:val="Prrafodelista"/>
        <w:spacing w:after="0" w:line="240" w:lineRule="auto"/>
        <w:ind w:left="720"/>
        <w:jc w:val="both"/>
        <w:rPr>
          <w:rFonts w:cs="Arial"/>
          <w:i/>
        </w:rPr>
      </w:pPr>
      <w:r w:rsidRPr="0045713D">
        <w:rPr>
          <w:rFonts w:cs="Arial"/>
          <w:i/>
        </w:rPr>
        <w:t>5. En relación al error material detectado se debe aplicar lo indicado en el “Informe de la Intervención General de la Comunidad de Madrid de 30 de septiembre de 2002. Contrato s de obras. Fiscalización de las certificaciones de obra: variaciones y rectificaciones” en su punto segundo, según el cual su subsanación deberá realizarse en la certificación final.</w:t>
      </w:r>
      <w:r w:rsidR="00216787" w:rsidRPr="0045713D">
        <w:rPr>
          <w:rFonts w:cs="Arial"/>
          <w:i/>
        </w:rPr>
        <w:t>”</w:t>
      </w:r>
    </w:p>
    <w:p w14:paraId="4DDE3E06" w14:textId="77777777" w:rsidR="00A07E6E" w:rsidRPr="0045713D" w:rsidRDefault="00A07E6E" w:rsidP="00A07E6E">
      <w:pPr>
        <w:pStyle w:val="Prrafodelista"/>
        <w:spacing w:after="0" w:line="240" w:lineRule="auto"/>
        <w:ind w:left="720"/>
        <w:jc w:val="both"/>
        <w:rPr>
          <w:rFonts w:cs="Arial"/>
          <w:i/>
        </w:rPr>
      </w:pPr>
    </w:p>
    <w:p w14:paraId="753DB058" w14:textId="0E60957A" w:rsidR="00DB196A" w:rsidRPr="0045713D" w:rsidRDefault="00740067" w:rsidP="00A07E6E">
      <w:pPr>
        <w:pStyle w:val="Prrafodelista"/>
        <w:numPr>
          <w:ilvl w:val="0"/>
          <w:numId w:val="27"/>
        </w:numPr>
        <w:spacing w:after="0" w:line="240" w:lineRule="auto"/>
        <w:jc w:val="both"/>
        <w:rPr>
          <w:rFonts w:cs="Arial"/>
          <w:b/>
        </w:rPr>
      </w:pPr>
      <w:r w:rsidRPr="0045713D">
        <w:rPr>
          <w:rFonts w:cs="Arial"/>
        </w:rPr>
        <w:t xml:space="preserve">Como quiera que los motivos de reparo no fueron </w:t>
      </w:r>
      <w:r w:rsidR="00C1117A" w:rsidRPr="0045713D">
        <w:rPr>
          <w:rFonts w:cs="Arial"/>
        </w:rPr>
        <w:t xml:space="preserve">subsanados, con anterioridad a la finalización del </w:t>
      </w:r>
      <w:r w:rsidRPr="0045713D">
        <w:rPr>
          <w:rFonts w:cs="Arial"/>
        </w:rPr>
        <w:t>ejercicio presupuestario el documento contable OK/2021/0000472630, fue cancelado</w:t>
      </w:r>
      <w:r w:rsidR="00800A42" w:rsidRPr="0045713D">
        <w:rPr>
          <w:rFonts w:cs="Arial"/>
        </w:rPr>
        <w:t xml:space="preserve"> y,</w:t>
      </w:r>
      <w:r w:rsidR="00C1117A" w:rsidRPr="0045713D">
        <w:rPr>
          <w:rFonts w:cs="Arial"/>
        </w:rPr>
        <w:t xml:space="preserve"> en</w:t>
      </w:r>
      <w:r w:rsidR="00800A42" w:rsidRPr="0045713D">
        <w:rPr>
          <w:rFonts w:cs="Arial"/>
        </w:rPr>
        <w:t xml:space="preserve"> este ejercicio, para el pago de la certificación 7 del contrato se ha elaborado el documento contable OK/2022/0000287981.</w:t>
      </w:r>
    </w:p>
    <w:p w14:paraId="2A532856" w14:textId="77777777" w:rsidR="00A07E6E" w:rsidRPr="0045713D" w:rsidRDefault="00A07E6E" w:rsidP="00A07E6E">
      <w:pPr>
        <w:pStyle w:val="Prrafodelista"/>
        <w:spacing w:after="0" w:line="240" w:lineRule="auto"/>
        <w:ind w:left="720"/>
        <w:jc w:val="both"/>
        <w:rPr>
          <w:rFonts w:cs="Arial"/>
          <w:b/>
        </w:rPr>
      </w:pPr>
    </w:p>
    <w:p w14:paraId="5AA3045F" w14:textId="684B405C" w:rsidR="00800A42" w:rsidRPr="0045713D" w:rsidRDefault="00D5141B" w:rsidP="00A07E6E">
      <w:pPr>
        <w:pStyle w:val="Prrafodelista"/>
        <w:numPr>
          <w:ilvl w:val="0"/>
          <w:numId w:val="27"/>
        </w:numPr>
        <w:spacing w:after="0" w:line="240" w:lineRule="auto"/>
        <w:jc w:val="both"/>
        <w:rPr>
          <w:rFonts w:cs="Arial"/>
          <w:b/>
        </w:rPr>
      </w:pPr>
      <w:r w:rsidRPr="0045713D">
        <w:rPr>
          <w:rFonts w:cs="Arial"/>
        </w:rPr>
        <w:t>P</w:t>
      </w:r>
      <w:r w:rsidR="00084DB4" w:rsidRPr="0045713D">
        <w:rPr>
          <w:rFonts w:cs="Arial"/>
        </w:rPr>
        <w:t>or la Dirección General de Infraestructuras de Transporte Colectivo no se comparten los motivos de reparo</w:t>
      </w:r>
      <w:r w:rsidRPr="0045713D">
        <w:rPr>
          <w:rFonts w:cs="Arial"/>
        </w:rPr>
        <w:t xml:space="preserve"> y</w:t>
      </w:r>
      <w:r w:rsidR="00084DB4" w:rsidRPr="0045713D">
        <w:rPr>
          <w:rFonts w:cs="Arial"/>
        </w:rPr>
        <w:t xml:space="preserve">, al amparo del artículo 88.1.a) de la Ley 9/1990, de 8 de noviembre, reguladora de la Hacienda de la Comunidad de Madrid, se presenta ante esta intervención General discrepancia frente al </w:t>
      </w:r>
      <w:r w:rsidR="00E44AEA" w:rsidRPr="0045713D">
        <w:rPr>
          <w:rFonts w:cs="Arial"/>
        </w:rPr>
        <w:t>informe fiscal que</w:t>
      </w:r>
      <w:r w:rsidR="00084DB4" w:rsidRPr="0045713D">
        <w:rPr>
          <w:rFonts w:cs="Arial"/>
        </w:rPr>
        <w:t xml:space="preserve"> se fundamenta</w:t>
      </w:r>
      <w:r w:rsidR="00E44AEA" w:rsidRPr="0045713D">
        <w:rPr>
          <w:rFonts w:cs="Arial"/>
        </w:rPr>
        <w:t xml:space="preserve"> en los argumentos que se consideran oportunos</w:t>
      </w:r>
      <w:r w:rsidR="006D01F1" w:rsidRPr="0045713D">
        <w:rPr>
          <w:rFonts w:cs="Arial"/>
        </w:rPr>
        <w:t>, que señalan que:</w:t>
      </w:r>
    </w:p>
    <w:p w14:paraId="29F0F060" w14:textId="77777777" w:rsidR="00A07E6E" w:rsidRPr="0045713D" w:rsidRDefault="00A07E6E" w:rsidP="00A07E6E">
      <w:pPr>
        <w:pStyle w:val="Prrafodelista"/>
        <w:spacing w:after="0" w:line="240" w:lineRule="auto"/>
        <w:ind w:left="720"/>
        <w:jc w:val="both"/>
        <w:rPr>
          <w:rFonts w:cs="Arial"/>
          <w:b/>
        </w:rPr>
      </w:pPr>
    </w:p>
    <w:p w14:paraId="52F4DA45" w14:textId="701D7FAF" w:rsidR="006D01F1" w:rsidRPr="0045713D" w:rsidRDefault="00E324C6" w:rsidP="00A07E6E">
      <w:pPr>
        <w:pStyle w:val="Prrafodelista"/>
        <w:numPr>
          <w:ilvl w:val="0"/>
          <w:numId w:val="29"/>
        </w:numPr>
        <w:spacing w:after="0" w:line="240" w:lineRule="auto"/>
        <w:jc w:val="both"/>
        <w:rPr>
          <w:rFonts w:cs="Arial"/>
        </w:rPr>
      </w:pPr>
      <w:r w:rsidRPr="0045713D">
        <w:rPr>
          <w:rFonts w:cs="Arial"/>
        </w:rPr>
        <w:t>No obstante, los motivos de reparo 1, 2, 3 y 4 que ponen de manifiesto errores en cuanto a las unidades no ejecutables para compensar los excesos de medición y las unidades no ejecutables que se ven afectadas por los precios nuevos</w:t>
      </w:r>
      <w:r w:rsidRPr="0045713D">
        <w:rPr>
          <w:rFonts w:cs="Arial"/>
          <w:i/>
        </w:rPr>
        <w:t xml:space="preserve"> “la relación de precios nuevos que ha sido aprobada es correcta, y la certificación nº7 y última de julio de 2021 sí es correcta en unidades y cuantías salvo la afectada por el reparo 5.”</w:t>
      </w:r>
      <w:r w:rsidR="00543BEA" w:rsidRPr="0045713D">
        <w:rPr>
          <w:rFonts w:cs="Arial"/>
          <w:i/>
        </w:rPr>
        <w:t xml:space="preserve"> </w:t>
      </w:r>
      <w:r w:rsidR="00543BEA" w:rsidRPr="0045713D">
        <w:rPr>
          <w:rFonts w:cs="Arial"/>
        </w:rPr>
        <w:t>y, por tanto, se entiende que la certificación 7ª y última es correcta y se concluye que “…</w:t>
      </w:r>
      <w:r w:rsidR="00543BEA" w:rsidRPr="0045713D">
        <w:rPr>
          <w:rFonts w:cs="Arial"/>
          <w:i/>
        </w:rPr>
        <w:t>no procede la redacción del correspondiente proyecto modificado ni la convalidación de gasto.</w:t>
      </w:r>
      <w:r w:rsidR="00543BEA" w:rsidRPr="0045713D">
        <w:rPr>
          <w:rFonts w:cs="Arial"/>
        </w:rPr>
        <w:t>”</w:t>
      </w:r>
    </w:p>
    <w:p w14:paraId="36B84314" w14:textId="77777777" w:rsidR="00A07E6E" w:rsidRPr="0045713D" w:rsidRDefault="00A07E6E" w:rsidP="00A07E6E">
      <w:pPr>
        <w:pStyle w:val="Prrafodelista"/>
        <w:spacing w:after="0" w:line="240" w:lineRule="auto"/>
        <w:ind w:left="1080"/>
        <w:jc w:val="both"/>
        <w:rPr>
          <w:rFonts w:cs="Arial"/>
        </w:rPr>
      </w:pPr>
    </w:p>
    <w:p w14:paraId="02C7AA0E" w14:textId="500609C8" w:rsidR="00543BEA" w:rsidRPr="0045713D" w:rsidRDefault="00543BEA" w:rsidP="00A07E6E">
      <w:pPr>
        <w:pStyle w:val="Prrafodelista"/>
        <w:numPr>
          <w:ilvl w:val="0"/>
          <w:numId w:val="29"/>
        </w:numPr>
        <w:spacing w:after="0" w:line="240" w:lineRule="auto"/>
        <w:jc w:val="both"/>
        <w:rPr>
          <w:rFonts w:cs="Arial"/>
          <w:b/>
        </w:rPr>
      </w:pPr>
      <w:r w:rsidRPr="0045713D">
        <w:rPr>
          <w:rFonts w:cs="Arial"/>
        </w:rPr>
        <w:t xml:space="preserve">La inclusión de precios nuevos se ha realizado de conformidad con el artículo 242.4 ii de la Ley 9/2017, toda vez que se cumplen los 2 requisitos </w:t>
      </w:r>
      <w:r w:rsidR="002D5EDA" w:rsidRPr="0045713D">
        <w:rPr>
          <w:rFonts w:cs="Arial"/>
        </w:rPr>
        <w:t>establecidos en dicho precepto para no surgir la obligación de tramitar un expediente de modificación contractual.</w:t>
      </w:r>
    </w:p>
    <w:p w14:paraId="070A8F7D" w14:textId="77777777" w:rsidR="00A07E6E" w:rsidRPr="0045713D" w:rsidRDefault="00A07E6E" w:rsidP="00A07E6E">
      <w:pPr>
        <w:pStyle w:val="Prrafodelista"/>
        <w:spacing w:after="0" w:line="240" w:lineRule="auto"/>
        <w:ind w:left="1080"/>
        <w:jc w:val="both"/>
        <w:rPr>
          <w:rFonts w:cs="Arial"/>
          <w:b/>
        </w:rPr>
      </w:pPr>
    </w:p>
    <w:p w14:paraId="0DA83680" w14:textId="5A83A2D4" w:rsidR="00F44D5E" w:rsidRPr="0045713D" w:rsidRDefault="00F44D5E" w:rsidP="00A07E6E">
      <w:pPr>
        <w:pStyle w:val="Prrafodelista"/>
        <w:numPr>
          <w:ilvl w:val="0"/>
          <w:numId w:val="29"/>
        </w:numPr>
        <w:spacing w:after="0" w:line="240" w:lineRule="auto"/>
        <w:jc w:val="both"/>
        <w:rPr>
          <w:rFonts w:cs="Arial"/>
          <w:b/>
        </w:rPr>
      </w:pPr>
      <w:r w:rsidRPr="0045713D">
        <w:rPr>
          <w:rFonts w:cs="Arial"/>
        </w:rPr>
        <w:t>Respecto al 5º motivo de reparo se afirma que “</w:t>
      </w:r>
      <w:r w:rsidRPr="0045713D">
        <w:rPr>
          <w:rFonts w:cs="Arial"/>
          <w:i/>
        </w:rPr>
        <w:t>…la corrección del error material en la medición a origen de la unidad mU13KC110 en el capítulo 5.2 se realizará en la certificación final, por lo que se volverá a presentar la certificación nº7 y última de julio 2021 del contrato de obras “Proyecto de Urbanización de la calle Montera entre las calles Gran Vía y Jardines y de la calle Caballero de Gracia de Madrid” subsanando dicho error.”</w:t>
      </w:r>
    </w:p>
    <w:p w14:paraId="4235B754" w14:textId="77777777" w:rsidR="00A07E6E" w:rsidRPr="0045713D" w:rsidRDefault="00A07E6E" w:rsidP="00A07E6E">
      <w:pPr>
        <w:pStyle w:val="Prrafodelista"/>
        <w:spacing w:after="0" w:line="240" w:lineRule="auto"/>
        <w:ind w:left="1080"/>
        <w:jc w:val="both"/>
        <w:rPr>
          <w:rFonts w:cs="Arial"/>
          <w:b/>
        </w:rPr>
      </w:pPr>
    </w:p>
    <w:p w14:paraId="055507F3" w14:textId="081E7E3B" w:rsidR="00EA77D7" w:rsidRPr="0045713D" w:rsidRDefault="00567C61" w:rsidP="00A07E6E">
      <w:pPr>
        <w:pStyle w:val="Prrafodelista"/>
        <w:numPr>
          <w:ilvl w:val="0"/>
          <w:numId w:val="27"/>
        </w:numPr>
        <w:spacing w:after="0" w:line="240" w:lineRule="auto"/>
        <w:jc w:val="both"/>
        <w:rPr>
          <w:rFonts w:cs="Arial"/>
        </w:rPr>
      </w:pPr>
      <w:r w:rsidRPr="0045713D">
        <w:rPr>
          <w:rFonts w:cs="Arial"/>
        </w:rPr>
        <w:t>La discrepancia y la documentación correspondiente han sido recibidas en esta Intervención General el 18 de julio de 2022.</w:t>
      </w:r>
    </w:p>
    <w:p w14:paraId="14DD42FA" w14:textId="77777777" w:rsidR="00A07E6E" w:rsidRPr="0045713D" w:rsidRDefault="00A07E6E" w:rsidP="00A07E6E">
      <w:pPr>
        <w:pStyle w:val="Prrafodelista"/>
        <w:spacing w:after="0" w:line="240" w:lineRule="auto"/>
        <w:ind w:left="720"/>
        <w:jc w:val="both"/>
        <w:rPr>
          <w:rFonts w:cs="Arial"/>
        </w:rPr>
      </w:pPr>
    </w:p>
    <w:p w14:paraId="7B71D5FB" w14:textId="43AAAA53" w:rsidR="00567C61" w:rsidRPr="0045713D" w:rsidRDefault="00567C61" w:rsidP="00A07E6E">
      <w:pPr>
        <w:jc w:val="both"/>
        <w:rPr>
          <w:rFonts w:ascii="Arial" w:hAnsi="Arial" w:cs="Arial"/>
          <w:sz w:val="22"/>
          <w:szCs w:val="22"/>
        </w:rPr>
      </w:pPr>
      <w:r w:rsidRPr="0045713D">
        <w:rPr>
          <w:rFonts w:ascii="Arial" w:hAnsi="Arial" w:cs="Arial"/>
          <w:sz w:val="22"/>
          <w:szCs w:val="22"/>
        </w:rPr>
        <w:t>Para resolver la discrepancia presentada procede formular las siguientes</w:t>
      </w:r>
    </w:p>
    <w:p w14:paraId="2FB8F752" w14:textId="1EEB0A29" w:rsidR="00567C61" w:rsidRPr="0045713D" w:rsidRDefault="00567C61" w:rsidP="00A07E6E">
      <w:pPr>
        <w:jc w:val="center"/>
        <w:rPr>
          <w:rFonts w:ascii="Arial" w:hAnsi="Arial" w:cs="Arial"/>
          <w:b/>
          <w:sz w:val="22"/>
          <w:szCs w:val="22"/>
        </w:rPr>
      </w:pPr>
      <w:r w:rsidRPr="0045713D">
        <w:rPr>
          <w:rFonts w:ascii="Arial" w:hAnsi="Arial" w:cs="Arial"/>
          <w:b/>
          <w:sz w:val="22"/>
          <w:szCs w:val="22"/>
        </w:rPr>
        <w:lastRenderedPageBreak/>
        <w:t>CONSIDERACIONES</w:t>
      </w:r>
    </w:p>
    <w:p w14:paraId="5EECB854" w14:textId="77777777" w:rsidR="00A07E6E" w:rsidRPr="0045713D" w:rsidRDefault="00A07E6E" w:rsidP="00A07E6E">
      <w:pPr>
        <w:jc w:val="center"/>
        <w:rPr>
          <w:rFonts w:ascii="Arial" w:hAnsi="Arial" w:cs="Arial"/>
          <w:b/>
          <w:sz w:val="22"/>
          <w:szCs w:val="22"/>
        </w:rPr>
      </w:pPr>
    </w:p>
    <w:p w14:paraId="65F4DD21" w14:textId="3437E22D" w:rsidR="00567C61" w:rsidRPr="0045713D" w:rsidRDefault="007E21E1" w:rsidP="00A07E6E">
      <w:pPr>
        <w:jc w:val="center"/>
        <w:rPr>
          <w:rFonts w:ascii="Arial" w:hAnsi="Arial" w:cs="Arial"/>
          <w:b/>
          <w:sz w:val="22"/>
          <w:szCs w:val="22"/>
        </w:rPr>
      </w:pPr>
      <w:r w:rsidRPr="0045713D">
        <w:rPr>
          <w:rFonts w:ascii="Arial" w:hAnsi="Arial" w:cs="Arial"/>
          <w:b/>
          <w:sz w:val="22"/>
          <w:szCs w:val="22"/>
        </w:rPr>
        <w:t>I</w:t>
      </w:r>
    </w:p>
    <w:p w14:paraId="7DD41ABE" w14:textId="77777777" w:rsidR="007E21E1" w:rsidRPr="0045713D" w:rsidRDefault="005A6BD7" w:rsidP="00A07E6E">
      <w:pPr>
        <w:jc w:val="center"/>
        <w:rPr>
          <w:rFonts w:ascii="Arial" w:hAnsi="Arial" w:cs="Arial"/>
          <w:b/>
          <w:sz w:val="22"/>
          <w:szCs w:val="22"/>
        </w:rPr>
      </w:pPr>
      <w:r w:rsidRPr="0045713D">
        <w:rPr>
          <w:rFonts w:ascii="Arial" w:hAnsi="Arial" w:cs="Arial"/>
          <w:b/>
          <w:sz w:val="22"/>
          <w:szCs w:val="22"/>
        </w:rPr>
        <w:t>Efectos del presente informe</w:t>
      </w:r>
    </w:p>
    <w:p w14:paraId="4D12F078" w14:textId="77777777" w:rsidR="005A6BD7" w:rsidRPr="0045713D" w:rsidRDefault="005A6BD7" w:rsidP="00A07E6E">
      <w:pPr>
        <w:jc w:val="center"/>
        <w:rPr>
          <w:rFonts w:ascii="Arial" w:hAnsi="Arial" w:cs="Arial"/>
          <w:b/>
          <w:sz w:val="22"/>
          <w:szCs w:val="22"/>
        </w:rPr>
      </w:pPr>
    </w:p>
    <w:p w14:paraId="70F1E314" w14:textId="74E3E48B" w:rsidR="00C1117A" w:rsidRPr="0045713D" w:rsidRDefault="005A6BD7" w:rsidP="00A07E6E">
      <w:pPr>
        <w:jc w:val="both"/>
        <w:rPr>
          <w:rFonts w:ascii="Arial" w:hAnsi="Arial" w:cs="Arial"/>
          <w:sz w:val="22"/>
          <w:szCs w:val="22"/>
        </w:rPr>
      </w:pPr>
      <w:r w:rsidRPr="0045713D">
        <w:rPr>
          <w:rFonts w:ascii="Arial" w:hAnsi="Arial" w:cs="Arial"/>
          <w:sz w:val="22"/>
          <w:szCs w:val="22"/>
        </w:rPr>
        <w:t>Como se ha expuesto en los antecedentes el reparo con el que se discrepa fue interpuesto contra el documento contable OK/2021/0000472630. Este documento fue cancelado y sustituido por el documento contable OK/2022/0000287981. Por lo tant</w:t>
      </w:r>
      <w:r w:rsidR="0064429A" w:rsidRPr="0045713D">
        <w:rPr>
          <w:rFonts w:ascii="Arial" w:hAnsi="Arial" w:cs="Arial"/>
          <w:sz w:val="22"/>
          <w:szCs w:val="22"/>
        </w:rPr>
        <w:t>o, la resolución de la presente discrepancia tendrá plenos efectos sobre el documento contable OK/2022/0000287981.</w:t>
      </w:r>
    </w:p>
    <w:p w14:paraId="65C3AAB8" w14:textId="77777777" w:rsidR="00A07E6E" w:rsidRPr="0045713D" w:rsidRDefault="00A07E6E" w:rsidP="00A07E6E">
      <w:pPr>
        <w:jc w:val="both"/>
        <w:rPr>
          <w:rFonts w:ascii="Arial" w:hAnsi="Arial" w:cs="Arial"/>
          <w:sz w:val="22"/>
          <w:szCs w:val="22"/>
        </w:rPr>
      </w:pPr>
    </w:p>
    <w:p w14:paraId="443843FF" w14:textId="77777777" w:rsidR="00A07E6E" w:rsidRPr="0045713D" w:rsidRDefault="00A07E6E" w:rsidP="00A07E6E">
      <w:pPr>
        <w:jc w:val="center"/>
        <w:rPr>
          <w:rFonts w:ascii="Arial" w:hAnsi="Arial" w:cs="Arial"/>
          <w:b/>
          <w:sz w:val="22"/>
          <w:szCs w:val="22"/>
        </w:rPr>
      </w:pPr>
    </w:p>
    <w:p w14:paraId="0AA17486" w14:textId="2FED7899" w:rsidR="0064429A" w:rsidRPr="0045713D" w:rsidRDefault="0064429A" w:rsidP="00A07E6E">
      <w:pPr>
        <w:jc w:val="center"/>
        <w:rPr>
          <w:rFonts w:ascii="Arial" w:hAnsi="Arial" w:cs="Arial"/>
          <w:b/>
          <w:sz w:val="22"/>
          <w:szCs w:val="22"/>
        </w:rPr>
      </w:pPr>
      <w:r w:rsidRPr="0045713D">
        <w:rPr>
          <w:rFonts w:ascii="Arial" w:hAnsi="Arial" w:cs="Arial"/>
          <w:b/>
          <w:sz w:val="22"/>
          <w:szCs w:val="22"/>
        </w:rPr>
        <w:t>II</w:t>
      </w:r>
    </w:p>
    <w:p w14:paraId="6EFFEEB3" w14:textId="77777777" w:rsidR="0064429A" w:rsidRPr="0045713D" w:rsidRDefault="0064429A" w:rsidP="00A07E6E">
      <w:pPr>
        <w:jc w:val="center"/>
        <w:rPr>
          <w:rFonts w:ascii="Arial" w:hAnsi="Arial" w:cs="Arial"/>
          <w:b/>
          <w:sz w:val="22"/>
          <w:szCs w:val="22"/>
        </w:rPr>
      </w:pPr>
      <w:r w:rsidRPr="0045713D">
        <w:rPr>
          <w:rFonts w:ascii="Arial" w:hAnsi="Arial" w:cs="Arial"/>
          <w:b/>
          <w:sz w:val="22"/>
          <w:szCs w:val="22"/>
        </w:rPr>
        <w:t>Modificación de los contratos administrativos</w:t>
      </w:r>
      <w:r w:rsidR="00937098" w:rsidRPr="0045713D">
        <w:rPr>
          <w:rFonts w:ascii="Arial" w:hAnsi="Arial" w:cs="Arial"/>
          <w:b/>
          <w:sz w:val="22"/>
          <w:szCs w:val="22"/>
        </w:rPr>
        <w:t xml:space="preserve"> y excesos de medición</w:t>
      </w:r>
    </w:p>
    <w:p w14:paraId="6B7547CE" w14:textId="77777777" w:rsidR="00C84C86" w:rsidRPr="0045713D" w:rsidRDefault="00C84C86" w:rsidP="00A07E6E">
      <w:pPr>
        <w:jc w:val="center"/>
        <w:rPr>
          <w:rFonts w:ascii="Arial" w:hAnsi="Arial" w:cs="Arial"/>
          <w:b/>
          <w:sz w:val="22"/>
          <w:szCs w:val="22"/>
        </w:rPr>
      </w:pPr>
    </w:p>
    <w:p w14:paraId="0D509091" w14:textId="77777777" w:rsidR="00C84C86" w:rsidRPr="0045713D" w:rsidRDefault="00C84C86" w:rsidP="00A07E6E">
      <w:pPr>
        <w:jc w:val="both"/>
        <w:rPr>
          <w:rFonts w:ascii="Arial" w:hAnsi="Arial" w:cs="Arial"/>
          <w:sz w:val="22"/>
          <w:szCs w:val="22"/>
        </w:rPr>
      </w:pPr>
      <w:r w:rsidRPr="0045713D">
        <w:rPr>
          <w:rFonts w:ascii="Arial" w:hAnsi="Arial" w:cs="Arial"/>
          <w:sz w:val="22"/>
          <w:szCs w:val="22"/>
        </w:rPr>
        <w:t>La contratación administrativa se rige por una serie de principios, entre ellos el de inalterabilidad o invariabilidad de lo pactado por las partes, reconocido por la doctrina del Tribunal Supremo</w:t>
      </w:r>
      <w:r w:rsidRPr="0045713D">
        <w:rPr>
          <w:rStyle w:val="Refdenotaalpie"/>
          <w:rFonts w:ascii="Arial" w:hAnsi="Arial" w:cs="Arial"/>
          <w:sz w:val="22"/>
          <w:szCs w:val="22"/>
        </w:rPr>
        <w:footnoteReference w:id="1"/>
      </w:r>
      <w:r w:rsidR="00EE3C16" w:rsidRPr="0045713D">
        <w:rPr>
          <w:rFonts w:ascii="Arial" w:hAnsi="Arial" w:cs="Arial"/>
          <w:sz w:val="22"/>
          <w:szCs w:val="22"/>
        </w:rPr>
        <w:t>.</w:t>
      </w:r>
    </w:p>
    <w:p w14:paraId="66C6BF59" w14:textId="77777777" w:rsidR="00C1117A" w:rsidRPr="0045713D" w:rsidRDefault="00C1117A" w:rsidP="00A07E6E">
      <w:pPr>
        <w:jc w:val="both"/>
        <w:rPr>
          <w:rFonts w:ascii="Arial" w:hAnsi="Arial" w:cs="Arial"/>
          <w:sz w:val="22"/>
          <w:szCs w:val="22"/>
        </w:rPr>
      </w:pPr>
    </w:p>
    <w:p w14:paraId="71A7ADC5" w14:textId="2DF917A9" w:rsidR="00EE3C16" w:rsidRPr="0045713D" w:rsidRDefault="00997F93" w:rsidP="00A07E6E">
      <w:pPr>
        <w:jc w:val="both"/>
        <w:rPr>
          <w:rFonts w:ascii="Arial" w:hAnsi="Arial" w:cs="Arial"/>
          <w:sz w:val="22"/>
          <w:szCs w:val="22"/>
        </w:rPr>
      </w:pPr>
      <w:r w:rsidRPr="0045713D">
        <w:rPr>
          <w:rFonts w:ascii="Arial" w:hAnsi="Arial" w:cs="Arial"/>
          <w:sz w:val="22"/>
          <w:szCs w:val="22"/>
        </w:rPr>
        <w:t>El Alto T</w:t>
      </w:r>
      <w:r w:rsidR="00EE3C16" w:rsidRPr="0045713D">
        <w:rPr>
          <w:rFonts w:ascii="Arial" w:hAnsi="Arial" w:cs="Arial"/>
          <w:sz w:val="22"/>
          <w:szCs w:val="22"/>
        </w:rPr>
        <w:t xml:space="preserve">ribunal se refiere en numerosas ocasiones a este principio. Entre las excepciones al mismo se encuentra la prerrogativa de la Administración de modificar unilateralmente los contratos administrativos, también denominada </w:t>
      </w:r>
      <w:proofErr w:type="spellStart"/>
      <w:r w:rsidR="00EE3C16" w:rsidRPr="0045713D">
        <w:rPr>
          <w:rFonts w:ascii="Arial" w:hAnsi="Arial" w:cs="Arial"/>
          <w:i/>
          <w:sz w:val="22"/>
          <w:szCs w:val="22"/>
        </w:rPr>
        <w:t>ius</w:t>
      </w:r>
      <w:proofErr w:type="spellEnd"/>
      <w:r w:rsidR="00EE3C16" w:rsidRPr="0045713D">
        <w:rPr>
          <w:rFonts w:ascii="Arial" w:hAnsi="Arial" w:cs="Arial"/>
          <w:i/>
          <w:sz w:val="22"/>
          <w:szCs w:val="22"/>
        </w:rPr>
        <w:t xml:space="preserve"> </w:t>
      </w:r>
      <w:proofErr w:type="spellStart"/>
      <w:r w:rsidR="00EE3C16" w:rsidRPr="0045713D">
        <w:rPr>
          <w:rFonts w:ascii="Arial" w:hAnsi="Arial" w:cs="Arial"/>
          <w:i/>
          <w:sz w:val="22"/>
          <w:szCs w:val="22"/>
        </w:rPr>
        <w:t>variandi</w:t>
      </w:r>
      <w:proofErr w:type="spellEnd"/>
      <w:r w:rsidR="00607F59" w:rsidRPr="0045713D">
        <w:rPr>
          <w:rStyle w:val="Refdenotaalpie"/>
          <w:rFonts w:ascii="Arial" w:hAnsi="Arial" w:cs="Arial"/>
          <w:sz w:val="22"/>
          <w:szCs w:val="22"/>
        </w:rPr>
        <w:footnoteReference w:id="2"/>
      </w:r>
      <w:r w:rsidR="00EE3C16" w:rsidRPr="0045713D">
        <w:rPr>
          <w:rFonts w:ascii="Arial" w:hAnsi="Arial" w:cs="Arial"/>
          <w:sz w:val="22"/>
          <w:szCs w:val="22"/>
        </w:rPr>
        <w:t>, reconocida en el artículo 190 de la Ley 9/2017, de 8 de noviembre, de Contratos del Sector Público, por la que se transponen al ordenamiento jurídico español las Directivas del Parlamento Europeo y del Consejo 2014/23/UE y 2014/24/UE, de 26 de febrero de 2014 –en adelante LCSP-, privilegio que, necesariamente</w:t>
      </w:r>
      <w:r w:rsidR="00222A06" w:rsidRPr="0045713D">
        <w:rPr>
          <w:rFonts w:ascii="Arial" w:hAnsi="Arial" w:cs="Arial"/>
          <w:sz w:val="22"/>
          <w:szCs w:val="22"/>
        </w:rPr>
        <w:t>,</w:t>
      </w:r>
      <w:r w:rsidR="00EE3C16" w:rsidRPr="0045713D">
        <w:rPr>
          <w:rFonts w:ascii="Arial" w:hAnsi="Arial" w:cs="Arial"/>
          <w:sz w:val="22"/>
          <w:szCs w:val="22"/>
        </w:rPr>
        <w:t xml:space="preserve"> ha de tener un car</w:t>
      </w:r>
      <w:r w:rsidR="00222A06" w:rsidRPr="0045713D">
        <w:rPr>
          <w:rFonts w:ascii="Arial" w:hAnsi="Arial" w:cs="Arial"/>
          <w:sz w:val="22"/>
          <w:szCs w:val="22"/>
        </w:rPr>
        <w:t>ácter excepcional, como señala</w:t>
      </w:r>
      <w:r w:rsidR="00EE3C16" w:rsidRPr="0045713D">
        <w:rPr>
          <w:rFonts w:ascii="Arial" w:hAnsi="Arial" w:cs="Arial"/>
          <w:sz w:val="22"/>
          <w:szCs w:val="22"/>
        </w:rPr>
        <w:t xml:space="preserve"> el Consejo de Estado en el Dictamen 3.371/1996, de 28 de noviembre de 1996.</w:t>
      </w:r>
    </w:p>
    <w:p w14:paraId="48C242BF" w14:textId="77777777" w:rsidR="00607F59" w:rsidRPr="0045713D" w:rsidRDefault="00607F59" w:rsidP="00A07E6E">
      <w:pPr>
        <w:jc w:val="both"/>
        <w:rPr>
          <w:rFonts w:ascii="Arial" w:hAnsi="Arial" w:cs="Arial"/>
          <w:sz w:val="22"/>
          <w:szCs w:val="22"/>
        </w:rPr>
      </w:pPr>
    </w:p>
    <w:p w14:paraId="5F876DAE" w14:textId="14DD2BDE" w:rsidR="00607F59" w:rsidRPr="0045713D" w:rsidRDefault="00607F59" w:rsidP="00A07E6E">
      <w:pPr>
        <w:jc w:val="both"/>
        <w:rPr>
          <w:rFonts w:ascii="Arial" w:hAnsi="Arial" w:cs="Arial"/>
          <w:sz w:val="22"/>
          <w:szCs w:val="22"/>
        </w:rPr>
      </w:pPr>
      <w:r w:rsidRPr="0045713D">
        <w:rPr>
          <w:rFonts w:ascii="Arial" w:hAnsi="Arial" w:cs="Arial"/>
          <w:sz w:val="22"/>
          <w:szCs w:val="22"/>
        </w:rPr>
        <w:t>En cuanto al procedimiento para el ejercicio de esta prerrogativa de modificación hay que seguir lo estab</w:t>
      </w:r>
      <w:r w:rsidR="00875D7E" w:rsidRPr="0045713D">
        <w:rPr>
          <w:rFonts w:ascii="Arial" w:hAnsi="Arial" w:cs="Arial"/>
          <w:sz w:val="22"/>
          <w:szCs w:val="22"/>
        </w:rPr>
        <w:t>lecido en el artículo 191 de la LCSP</w:t>
      </w:r>
      <w:r w:rsidR="00D91C8D" w:rsidRPr="0045713D">
        <w:rPr>
          <w:rFonts w:ascii="Arial" w:hAnsi="Arial" w:cs="Arial"/>
          <w:sz w:val="22"/>
          <w:szCs w:val="22"/>
        </w:rPr>
        <w:t xml:space="preserve"> (con las especialidades procedimentales contenidas en el artículo 207) y respect</w:t>
      </w:r>
      <w:r w:rsidR="00627556" w:rsidRPr="0045713D">
        <w:rPr>
          <w:rFonts w:ascii="Arial" w:hAnsi="Arial" w:cs="Arial"/>
          <w:sz w:val="22"/>
          <w:szCs w:val="22"/>
        </w:rPr>
        <w:t>o a los supuestos de modificación</w:t>
      </w:r>
      <w:r w:rsidR="002B563E" w:rsidRPr="0045713D">
        <w:rPr>
          <w:rFonts w:ascii="Arial" w:hAnsi="Arial" w:cs="Arial"/>
          <w:sz w:val="22"/>
          <w:szCs w:val="22"/>
        </w:rPr>
        <w:t>,</w:t>
      </w:r>
      <w:r w:rsidR="00627556" w:rsidRPr="0045713D">
        <w:rPr>
          <w:rFonts w:ascii="Arial" w:hAnsi="Arial" w:cs="Arial"/>
          <w:sz w:val="22"/>
          <w:szCs w:val="22"/>
        </w:rPr>
        <w:t xml:space="preserve"> la Ley distingue entre modificación de los cont</w:t>
      </w:r>
      <w:r w:rsidR="006E7834" w:rsidRPr="0045713D">
        <w:rPr>
          <w:rFonts w:ascii="Arial" w:hAnsi="Arial" w:cs="Arial"/>
          <w:sz w:val="22"/>
          <w:szCs w:val="22"/>
        </w:rPr>
        <w:t>ratos públicos previstas en el p</w:t>
      </w:r>
      <w:r w:rsidR="00627556" w:rsidRPr="0045713D">
        <w:rPr>
          <w:rFonts w:ascii="Arial" w:hAnsi="Arial" w:cs="Arial"/>
          <w:sz w:val="22"/>
          <w:szCs w:val="22"/>
        </w:rPr>
        <w:t xml:space="preserve">liego de cláusulas administrativas particulares –PCAP- (artículo 204 de la LCSP) y </w:t>
      </w:r>
      <w:r w:rsidR="00D91C8D" w:rsidRPr="0045713D">
        <w:rPr>
          <w:rFonts w:ascii="Arial" w:hAnsi="Arial" w:cs="Arial"/>
          <w:sz w:val="22"/>
          <w:szCs w:val="22"/>
        </w:rPr>
        <w:t xml:space="preserve">modificaciones </w:t>
      </w:r>
      <w:r w:rsidR="00627556" w:rsidRPr="0045713D">
        <w:rPr>
          <w:rFonts w:ascii="Arial" w:hAnsi="Arial" w:cs="Arial"/>
          <w:sz w:val="22"/>
          <w:szCs w:val="22"/>
        </w:rPr>
        <w:t>de los contratos públicos no previstas en el PCAP (artículo 205)</w:t>
      </w:r>
      <w:r w:rsidR="00984645" w:rsidRPr="0045713D">
        <w:rPr>
          <w:rFonts w:ascii="Arial" w:hAnsi="Arial" w:cs="Arial"/>
          <w:sz w:val="22"/>
          <w:szCs w:val="22"/>
        </w:rPr>
        <w:t>.</w:t>
      </w:r>
    </w:p>
    <w:p w14:paraId="6987934F" w14:textId="77777777" w:rsidR="00E26724" w:rsidRPr="0045713D" w:rsidRDefault="00E26724" w:rsidP="00A07E6E">
      <w:pPr>
        <w:jc w:val="both"/>
        <w:rPr>
          <w:rFonts w:ascii="Arial" w:hAnsi="Arial" w:cs="Arial"/>
          <w:sz w:val="22"/>
          <w:szCs w:val="22"/>
        </w:rPr>
      </w:pPr>
    </w:p>
    <w:p w14:paraId="112B3B82" w14:textId="59C63BA8" w:rsidR="00507845" w:rsidRPr="0045713D" w:rsidRDefault="00E26724" w:rsidP="00A07E6E">
      <w:pPr>
        <w:jc w:val="both"/>
        <w:rPr>
          <w:rFonts w:ascii="Arial" w:hAnsi="Arial" w:cs="Arial"/>
          <w:sz w:val="22"/>
          <w:szCs w:val="22"/>
        </w:rPr>
      </w:pPr>
      <w:r w:rsidRPr="0045713D">
        <w:rPr>
          <w:rFonts w:ascii="Arial" w:hAnsi="Arial" w:cs="Arial"/>
          <w:sz w:val="22"/>
          <w:szCs w:val="22"/>
        </w:rPr>
        <w:t>En el caso específico del contrato de obras la LCSP dedica un artículo concreto, el 242, para la modificación de este tipo de contratos. La legislación anterior -</w:t>
      </w:r>
      <w:r w:rsidR="00997F93" w:rsidRPr="0045713D">
        <w:rPr>
          <w:rFonts w:ascii="Arial" w:hAnsi="Arial" w:cs="Arial"/>
          <w:sz w:val="22"/>
          <w:szCs w:val="22"/>
        </w:rPr>
        <w:t xml:space="preserve">texto refundido de la Ley de Contratos del Sector Público aprobado por </w:t>
      </w:r>
      <w:r w:rsidRPr="0045713D">
        <w:rPr>
          <w:rFonts w:ascii="Arial" w:hAnsi="Arial" w:cs="Arial"/>
          <w:sz w:val="22"/>
          <w:szCs w:val="22"/>
        </w:rPr>
        <w:t>Real Decreto Legislativo 3/2011, de 14 de n</w:t>
      </w:r>
      <w:r w:rsidR="00997F93" w:rsidRPr="0045713D">
        <w:rPr>
          <w:rFonts w:ascii="Arial" w:hAnsi="Arial" w:cs="Arial"/>
          <w:sz w:val="22"/>
          <w:szCs w:val="22"/>
        </w:rPr>
        <w:t>oviembre</w:t>
      </w:r>
      <w:r w:rsidR="0080301E" w:rsidRPr="0045713D">
        <w:rPr>
          <w:rFonts w:ascii="Arial" w:hAnsi="Arial" w:cs="Arial"/>
          <w:sz w:val="22"/>
          <w:szCs w:val="22"/>
        </w:rPr>
        <w:t>- contenía, igualmente, un artículo, el 234, que regulaba el supuesto específico de la modificación del contrato de obras. La nueva regulación, en lo que para la resoluci</w:t>
      </w:r>
      <w:r w:rsidR="00D02844" w:rsidRPr="0045713D">
        <w:rPr>
          <w:rFonts w:ascii="Arial" w:hAnsi="Arial" w:cs="Arial"/>
          <w:sz w:val="22"/>
          <w:szCs w:val="22"/>
        </w:rPr>
        <w:t xml:space="preserve">ón de la discrepancia se </w:t>
      </w:r>
      <w:r w:rsidR="00D02844" w:rsidRPr="0045713D">
        <w:rPr>
          <w:rFonts w:ascii="Arial" w:hAnsi="Arial" w:cs="Arial"/>
          <w:sz w:val="22"/>
          <w:szCs w:val="22"/>
        </w:rPr>
        <w:lastRenderedPageBreak/>
        <w:t>refiere, varía su</w:t>
      </w:r>
      <w:bookmarkStart w:id="0" w:name="_GoBack"/>
      <w:bookmarkEnd w:id="0"/>
      <w:r w:rsidR="00D02844" w:rsidRPr="0045713D">
        <w:rPr>
          <w:rFonts w:ascii="Arial" w:hAnsi="Arial" w:cs="Arial"/>
          <w:sz w:val="22"/>
          <w:szCs w:val="22"/>
        </w:rPr>
        <w:t>stancialmente respecto de la anterior</w:t>
      </w:r>
      <w:r w:rsidR="00D57438" w:rsidRPr="0045713D">
        <w:rPr>
          <w:rFonts w:ascii="Arial" w:hAnsi="Arial" w:cs="Arial"/>
          <w:sz w:val="22"/>
          <w:szCs w:val="22"/>
        </w:rPr>
        <w:t xml:space="preserve"> –</w:t>
      </w:r>
      <w:r w:rsidR="00993A76" w:rsidRPr="0045713D">
        <w:rPr>
          <w:rFonts w:ascii="Arial" w:hAnsi="Arial" w:cs="Arial"/>
          <w:sz w:val="22"/>
          <w:szCs w:val="22"/>
        </w:rPr>
        <w:t xml:space="preserve">introduce un nuevo supuesto de </w:t>
      </w:r>
      <w:r w:rsidR="00D57438" w:rsidRPr="0045713D">
        <w:rPr>
          <w:rFonts w:ascii="Arial" w:hAnsi="Arial" w:cs="Arial"/>
          <w:sz w:val="22"/>
          <w:szCs w:val="22"/>
        </w:rPr>
        <w:t>variaciones que no constituyen modificaciones contractuales-, por lo que procede realizar el estudio e interpretación de la nueva normativa. No obstante, este Centro Fiscal en su informe de fecha</w:t>
      </w:r>
      <w:r w:rsidR="00422AD6" w:rsidRPr="0045713D">
        <w:rPr>
          <w:rFonts w:ascii="Arial" w:hAnsi="Arial" w:cs="Arial"/>
          <w:sz w:val="22"/>
          <w:szCs w:val="22"/>
        </w:rPr>
        <w:t xml:space="preserve"> 6 de septiembre de 2016 relativo a la existencia de desviaciones sustanciales en la medición de unidades de obra ejecutadas sobre las previstas en el proyecto y de partidas no ejecutadas de carácter significativo</w:t>
      </w:r>
      <w:r w:rsidR="0036516B" w:rsidRPr="0045713D">
        <w:rPr>
          <w:rFonts w:ascii="Arial" w:hAnsi="Arial" w:cs="Arial"/>
          <w:sz w:val="22"/>
          <w:szCs w:val="22"/>
        </w:rPr>
        <w:t>, que deben considerarse modificaciones al proyecto original</w:t>
      </w:r>
      <w:r w:rsidR="00507845" w:rsidRPr="0045713D">
        <w:rPr>
          <w:rFonts w:ascii="Arial" w:hAnsi="Arial" w:cs="Arial"/>
          <w:sz w:val="22"/>
          <w:szCs w:val="22"/>
        </w:rPr>
        <w:t xml:space="preserve">, analizó el artículo 234.3 del </w:t>
      </w:r>
      <w:proofErr w:type="spellStart"/>
      <w:r w:rsidR="00507845" w:rsidRPr="0045713D">
        <w:rPr>
          <w:rFonts w:ascii="Arial" w:hAnsi="Arial" w:cs="Arial"/>
          <w:sz w:val="22"/>
          <w:szCs w:val="22"/>
        </w:rPr>
        <w:t>RDL</w:t>
      </w:r>
      <w:proofErr w:type="spellEnd"/>
      <w:r w:rsidR="00507845" w:rsidRPr="0045713D">
        <w:rPr>
          <w:rFonts w:ascii="Arial" w:hAnsi="Arial" w:cs="Arial"/>
          <w:sz w:val="22"/>
          <w:szCs w:val="22"/>
        </w:rPr>
        <w:t xml:space="preserve"> 3/2011; el sentido de este informe debe ser tenido en cuenta </w:t>
      </w:r>
      <w:r w:rsidR="006E7834" w:rsidRPr="0045713D">
        <w:rPr>
          <w:rFonts w:ascii="Arial" w:hAnsi="Arial" w:cs="Arial"/>
          <w:sz w:val="22"/>
          <w:szCs w:val="22"/>
        </w:rPr>
        <w:t>en el análisis de</w:t>
      </w:r>
      <w:r w:rsidR="00D5674B" w:rsidRPr="0045713D">
        <w:rPr>
          <w:rFonts w:ascii="Arial" w:hAnsi="Arial" w:cs="Arial"/>
          <w:sz w:val="22"/>
          <w:szCs w:val="22"/>
        </w:rPr>
        <w:t xml:space="preserve"> la nueva normativa, ya que establece el principio de aplicación restrictiva de las variaciones que no constituyen modificación.</w:t>
      </w:r>
    </w:p>
    <w:p w14:paraId="42969CBA" w14:textId="77777777" w:rsidR="00B14EDA" w:rsidRPr="0045713D" w:rsidRDefault="00B14EDA" w:rsidP="00A07E6E">
      <w:pPr>
        <w:jc w:val="both"/>
        <w:rPr>
          <w:rFonts w:ascii="Arial" w:hAnsi="Arial" w:cs="Arial"/>
          <w:sz w:val="22"/>
          <w:szCs w:val="22"/>
        </w:rPr>
      </w:pPr>
    </w:p>
    <w:p w14:paraId="643CE29F" w14:textId="7662B4B7" w:rsidR="00B14EDA" w:rsidRPr="0045713D" w:rsidRDefault="00B14EDA" w:rsidP="00A07E6E">
      <w:pPr>
        <w:jc w:val="both"/>
        <w:rPr>
          <w:rFonts w:ascii="Arial" w:hAnsi="Arial" w:cs="Arial"/>
          <w:sz w:val="22"/>
          <w:szCs w:val="22"/>
        </w:rPr>
      </w:pPr>
      <w:r w:rsidRPr="0045713D">
        <w:rPr>
          <w:rFonts w:ascii="Arial" w:hAnsi="Arial" w:cs="Arial"/>
          <w:sz w:val="22"/>
          <w:szCs w:val="22"/>
        </w:rPr>
        <w:t>Así, el artículo 242 de la LCSP establece que:</w:t>
      </w:r>
    </w:p>
    <w:p w14:paraId="0ECEDD7C" w14:textId="77777777" w:rsidR="00B14EDA" w:rsidRPr="0045713D" w:rsidRDefault="00B14EDA" w:rsidP="00A07E6E">
      <w:pPr>
        <w:ind w:left="708"/>
        <w:jc w:val="both"/>
        <w:rPr>
          <w:rFonts w:ascii="Arial" w:hAnsi="Arial" w:cs="Arial"/>
          <w:sz w:val="22"/>
          <w:szCs w:val="22"/>
        </w:rPr>
      </w:pPr>
      <w:r w:rsidRPr="0045713D">
        <w:rPr>
          <w:rFonts w:ascii="Arial" w:hAnsi="Arial" w:cs="Arial"/>
          <w:sz w:val="22"/>
          <w:szCs w:val="22"/>
        </w:rPr>
        <w:t>“…</w:t>
      </w:r>
    </w:p>
    <w:p w14:paraId="31138ADB" w14:textId="77777777" w:rsidR="00B14EDA" w:rsidRPr="0045713D" w:rsidRDefault="00B14EDA" w:rsidP="00A07E6E">
      <w:pPr>
        <w:ind w:left="708"/>
        <w:jc w:val="both"/>
        <w:rPr>
          <w:rFonts w:ascii="Arial" w:hAnsi="Arial" w:cs="Arial"/>
          <w:i/>
          <w:sz w:val="22"/>
          <w:szCs w:val="22"/>
        </w:rPr>
      </w:pPr>
      <w:r w:rsidRPr="0045713D">
        <w:rPr>
          <w:rFonts w:ascii="Arial" w:hAnsi="Arial" w:cs="Arial"/>
          <w:i/>
          <w:sz w:val="22"/>
          <w:szCs w:val="22"/>
        </w:rPr>
        <w:t>4. Cuando el Director facultativo de la obra considere necesaria una modificación del proyecto y se cumplan los requisitos que a tal efecto regula esta Ley, recabará del órgano de contratación autorización para iniciar el correspondiente expediente, que se sustanciará con las siguientes actuaciones:</w:t>
      </w:r>
    </w:p>
    <w:p w14:paraId="55C2BEDC" w14:textId="77777777" w:rsidR="00B14EDA" w:rsidRPr="0045713D" w:rsidRDefault="00B14EDA" w:rsidP="00A07E6E">
      <w:pPr>
        <w:ind w:left="708"/>
        <w:jc w:val="both"/>
        <w:rPr>
          <w:rFonts w:ascii="Arial" w:hAnsi="Arial" w:cs="Arial"/>
          <w:i/>
          <w:sz w:val="22"/>
          <w:szCs w:val="22"/>
        </w:rPr>
      </w:pPr>
    </w:p>
    <w:p w14:paraId="2B20ECD1" w14:textId="5B665A62" w:rsidR="00B14EDA" w:rsidRPr="0045713D" w:rsidRDefault="00B14EDA" w:rsidP="00A07E6E">
      <w:pPr>
        <w:ind w:left="1416"/>
        <w:jc w:val="both"/>
        <w:rPr>
          <w:rFonts w:ascii="Arial" w:hAnsi="Arial" w:cs="Arial"/>
          <w:i/>
          <w:sz w:val="22"/>
          <w:szCs w:val="22"/>
        </w:rPr>
      </w:pPr>
      <w:r w:rsidRPr="0045713D">
        <w:rPr>
          <w:rFonts w:ascii="Arial" w:hAnsi="Arial" w:cs="Arial"/>
          <w:i/>
          <w:sz w:val="22"/>
          <w:szCs w:val="22"/>
        </w:rPr>
        <w:t>a) Redacción de la modificación del proyecto y aprobación técnica de la misma.</w:t>
      </w:r>
    </w:p>
    <w:p w14:paraId="00A644F6" w14:textId="77777777" w:rsidR="00E510B2" w:rsidRPr="0045713D" w:rsidRDefault="00E510B2" w:rsidP="00A07E6E">
      <w:pPr>
        <w:ind w:left="1416"/>
        <w:jc w:val="both"/>
        <w:rPr>
          <w:rFonts w:ascii="Arial" w:hAnsi="Arial" w:cs="Arial"/>
          <w:i/>
          <w:sz w:val="22"/>
          <w:szCs w:val="22"/>
        </w:rPr>
      </w:pPr>
    </w:p>
    <w:p w14:paraId="2929E12C" w14:textId="1F790AAC" w:rsidR="00B14EDA" w:rsidRPr="0045713D" w:rsidRDefault="00B14EDA" w:rsidP="00A07E6E">
      <w:pPr>
        <w:ind w:left="1416"/>
        <w:jc w:val="both"/>
        <w:rPr>
          <w:rFonts w:ascii="Arial" w:hAnsi="Arial" w:cs="Arial"/>
          <w:i/>
          <w:sz w:val="22"/>
          <w:szCs w:val="22"/>
        </w:rPr>
      </w:pPr>
      <w:r w:rsidRPr="0045713D">
        <w:rPr>
          <w:rFonts w:ascii="Arial" w:hAnsi="Arial" w:cs="Arial"/>
          <w:i/>
          <w:sz w:val="22"/>
          <w:szCs w:val="22"/>
        </w:rPr>
        <w:t>b) Audiencia del contratista y del redactor del proyecto, por plazo mínimo de tres días.</w:t>
      </w:r>
    </w:p>
    <w:p w14:paraId="019B25B4" w14:textId="77777777" w:rsidR="00E510B2" w:rsidRPr="0045713D" w:rsidRDefault="00E510B2" w:rsidP="00A07E6E">
      <w:pPr>
        <w:ind w:left="1416"/>
        <w:jc w:val="both"/>
        <w:rPr>
          <w:rFonts w:ascii="Arial" w:hAnsi="Arial" w:cs="Arial"/>
          <w:i/>
          <w:sz w:val="22"/>
          <w:szCs w:val="22"/>
        </w:rPr>
      </w:pPr>
    </w:p>
    <w:p w14:paraId="6EDED362" w14:textId="3ED42179" w:rsidR="00B14EDA" w:rsidRPr="0045713D" w:rsidRDefault="00B14EDA" w:rsidP="00A07E6E">
      <w:pPr>
        <w:ind w:left="1416"/>
        <w:jc w:val="both"/>
        <w:rPr>
          <w:rFonts w:ascii="Arial" w:hAnsi="Arial" w:cs="Arial"/>
          <w:i/>
          <w:sz w:val="22"/>
          <w:szCs w:val="22"/>
        </w:rPr>
      </w:pPr>
      <w:r w:rsidRPr="0045713D">
        <w:rPr>
          <w:rFonts w:ascii="Arial" w:hAnsi="Arial" w:cs="Arial"/>
          <w:i/>
          <w:sz w:val="22"/>
          <w:szCs w:val="22"/>
        </w:rPr>
        <w:t>c) Aprobación del expediente por el órgano de contratación, así como de los gastos complementarios precisos.</w:t>
      </w:r>
    </w:p>
    <w:p w14:paraId="6B14E40A" w14:textId="77777777" w:rsidR="006D5A49" w:rsidRPr="0045713D" w:rsidRDefault="006D5A49" w:rsidP="00A07E6E">
      <w:pPr>
        <w:ind w:left="708"/>
        <w:jc w:val="both"/>
        <w:rPr>
          <w:rFonts w:ascii="Arial" w:hAnsi="Arial" w:cs="Arial"/>
          <w:i/>
          <w:sz w:val="22"/>
          <w:szCs w:val="22"/>
        </w:rPr>
      </w:pPr>
    </w:p>
    <w:p w14:paraId="0B00593F" w14:textId="58B1E641" w:rsidR="00B14EDA" w:rsidRPr="0045713D" w:rsidRDefault="00B14EDA" w:rsidP="00A07E6E">
      <w:pPr>
        <w:ind w:left="708"/>
        <w:jc w:val="both"/>
        <w:rPr>
          <w:rFonts w:ascii="Arial" w:hAnsi="Arial" w:cs="Arial"/>
          <w:b/>
          <w:i/>
          <w:sz w:val="22"/>
          <w:szCs w:val="22"/>
        </w:rPr>
      </w:pPr>
      <w:r w:rsidRPr="0045713D">
        <w:rPr>
          <w:rFonts w:ascii="Arial" w:hAnsi="Arial" w:cs="Arial"/>
          <w:b/>
          <w:i/>
          <w:sz w:val="22"/>
          <w:szCs w:val="22"/>
        </w:rPr>
        <w:t>No obstante, no tendrán la consideración de modificaciones:</w:t>
      </w:r>
    </w:p>
    <w:p w14:paraId="3BDB3CAE" w14:textId="77777777" w:rsidR="006D5A49" w:rsidRPr="0045713D" w:rsidRDefault="006D5A49" w:rsidP="00A07E6E">
      <w:pPr>
        <w:ind w:left="708"/>
        <w:jc w:val="both"/>
        <w:rPr>
          <w:rFonts w:ascii="Arial" w:hAnsi="Arial" w:cs="Arial"/>
          <w:b/>
          <w:i/>
          <w:sz w:val="22"/>
          <w:szCs w:val="22"/>
        </w:rPr>
      </w:pPr>
    </w:p>
    <w:p w14:paraId="06EEBCAB" w14:textId="5D266BCD" w:rsidR="00B14EDA" w:rsidRPr="0045713D" w:rsidRDefault="00B14EDA" w:rsidP="00A07E6E">
      <w:pPr>
        <w:ind w:left="1416"/>
        <w:jc w:val="both"/>
        <w:rPr>
          <w:rFonts w:ascii="Arial" w:hAnsi="Arial" w:cs="Arial"/>
          <w:i/>
          <w:sz w:val="22"/>
          <w:szCs w:val="22"/>
        </w:rPr>
      </w:pPr>
      <w:r w:rsidRPr="0045713D">
        <w:rPr>
          <w:rFonts w:ascii="Arial" w:hAnsi="Arial" w:cs="Arial"/>
          <w:i/>
          <w:sz w:val="22"/>
          <w:szCs w:val="22"/>
        </w:rPr>
        <w:t>i. El exceso de mediciones, entendiendo por tal, la variación que durante la correcta ejecución de la obra se produzca exclusivamente en el número de unidades realmente ejecutadas sobre las previstas en las mediciones del proyecto, siempre que en global no representen un incremento del gasto superior al 10 por ciento del precio del contrato inicial. Dicho exceso de mediciones será recogido en la certificación final de la obra.</w:t>
      </w:r>
    </w:p>
    <w:p w14:paraId="260280D3" w14:textId="77777777" w:rsidR="00E510B2" w:rsidRPr="0045713D" w:rsidRDefault="00E510B2" w:rsidP="00A07E6E">
      <w:pPr>
        <w:ind w:left="1416"/>
        <w:jc w:val="both"/>
        <w:rPr>
          <w:rFonts w:ascii="Arial" w:hAnsi="Arial" w:cs="Arial"/>
          <w:i/>
          <w:sz w:val="22"/>
          <w:szCs w:val="22"/>
        </w:rPr>
      </w:pPr>
    </w:p>
    <w:p w14:paraId="0FC8A525" w14:textId="77777777" w:rsidR="00B14EDA" w:rsidRPr="0045713D" w:rsidRDefault="00B14EDA" w:rsidP="00A07E6E">
      <w:pPr>
        <w:ind w:left="1416"/>
        <w:jc w:val="both"/>
        <w:rPr>
          <w:rFonts w:ascii="Arial" w:hAnsi="Arial" w:cs="Arial"/>
          <w:i/>
          <w:sz w:val="22"/>
          <w:szCs w:val="22"/>
        </w:rPr>
      </w:pPr>
      <w:r w:rsidRPr="0045713D">
        <w:rPr>
          <w:rFonts w:ascii="Arial" w:hAnsi="Arial" w:cs="Arial"/>
          <w:b/>
          <w:i/>
          <w:sz w:val="22"/>
          <w:szCs w:val="22"/>
        </w:rPr>
        <w:t>ii. La inclusión de precios nuevos, fijados contradictoriamente por los procedimientos establecidos en esta Ley y en sus normas de desarrollo, siempre que no supongan incremento del precio global del contrato ni afecten a unidades de obra que en su conjunto exceda del 3 por ciento del presupuesto primitivo del mismo.</w:t>
      </w:r>
      <w:r w:rsidRPr="0045713D">
        <w:rPr>
          <w:rFonts w:ascii="Arial" w:hAnsi="Arial" w:cs="Arial"/>
          <w:i/>
          <w:sz w:val="22"/>
          <w:szCs w:val="22"/>
        </w:rPr>
        <w:t>”</w:t>
      </w:r>
    </w:p>
    <w:p w14:paraId="1F7438B0" w14:textId="77777777" w:rsidR="00B14EDA" w:rsidRPr="0045713D" w:rsidRDefault="00B14EDA" w:rsidP="00A07E6E">
      <w:pPr>
        <w:jc w:val="both"/>
        <w:rPr>
          <w:rFonts w:ascii="Arial" w:hAnsi="Arial" w:cs="Arial"/>
          <w:i/>
          <w:sz w:val="22"/>
          <w:szCs w:val="22"/>
        </w:rPr>
      </w:pPr>
    </w:p>
    <w:p w14:paraId="0CF21099" w14:textId="5EBE6A22" w:rsidR="00660B88" w:rsidRPr="0045713D" w:rsidRDefault="00F03613" w:rsidP="00A07E6E">
      <w:pPr>
        <w:jc w:val="both"/>
        <w:rPr>
          <w:rFonts w:ascii="Arial" w:hAnsi="Arial" w:cs="Arial"/>
          <w:i/>
          <w:sz w:val="22"/>
          <w:szCs w:val="22"/>
        </w:rPr>
      </w:pPr>
      <w:r w:rsidRPr="0045713D">
        <w:rPr>
          <w:rFonts w:ascii="Arial" w:hAnsi="Arial" w:cs="Arial"/>
          <w:sz w:val="22"/>
          <w:szCs w:val="22"/>
        </w:rPr>
        <w:t>Se ha resaltado en negrilla lo dispuesto en el</w:t>
      </w:r>
      <w:r w:rsidR="000813C9" w:rsidRPr="0045713D">
        <w:rPr>
          <w:rFonts w:ascii="Arial" w:hAnsi="Arial" w:cs="Arial"/>
          <w:sz w:val="22"/>
          <w:szCs w:val="22"/>
        </w:rPr>
        <w:t xml:space="preserve"> </w:t>
      </w:r>
      <w:r w:rsidRPr="0045713D">
        <w:rPr>
          <w:rFonts w:ascii="Arial" w:hAnsi="Arial" w:cs="Arial"/>
          <w:sz w:val="22"/>
          <w:szCs w:val="22"/>
        </w:rPr>
        <w:t>artículo 242.4.ii de la LCSP porque es el precepto</w:t>
      </w:r>
      <w:r w:rsidR="000813C9" w:rsidRPr="0045713D">
        <w:rPr>
          <w:rFonts w:ascii="Arial" w:hAnsi="Arial" w:cs="Arial"/>
          <w:sz w:val="22"/>
          <w:szCs w:val="22"/>
        </w:rPr>
        <w:t xml:space="preserve"> citado en el escrito de discrepancia por lo que requiere un estudio minucioso.</w:t>
      </w:r>
      <w:r w:rsidR="006E7230" w:rsidRPr="0045713D">
        <w:rPr>
          <w:rFonts w:ascii="Arial" w:hAnsi="Arial" w:cs="Arial"/>
          <w:sz w:val="22"/>
          <w:szCs w:val="22"/>
        </w:rPr>
        <w:t xml:space="preserve"> Sobre es</w:t>
      </w:r>
      <w:r w:rsidR="006D6FF7" w:rsidRPr="0045713D">
        <w:rPr>
          <w:rFonts w:ascii="Arial" w:hAnsi="Arial" w:cs="Arial"/>
          <w:sz w:val="22"/>
          <w:szCs w:val="22"/>
        </w:rPr>
        <w:t>te precepto se observa una</w:t>
      </w:r>
      <w:r w:rsidR="006E7230" w:rsidRPr="0045713D">
        <w:rPr>
          <w:rFonts w:ascii="Arial" w:hAnsi="Arial" w:cs="Arial"/>
          <w:sz w:val="22"/>
          <w:szCs w:val="22"/>
        </w:rPr>
        <w:t xml:space="preserve"> evoluci</w:t>
      </w:r>
      <w:r w:rsidR="006D6FF7" w:rsidRPr="0045713D">
        <w:rPr>
          <w:rFonts w:ascii="Arial" w:hAnsi="Arial" w:cs="Arial"/>
          <w:sz w:val="22"/>
          <w:szCs w:val="22"/>
        </w:rPr>
        <w:t>ón interpretativa que se expondrá citando informes relevante</w:t>
      </w:r>
      <w:r w:rsidR="00997F93" w:rsidRPr="0045713D">
        <w:rPr>
          <w:rFonts w:ascii="Arial" w:hAnsi="Arial" w:cs="Arial"/>
          <w:sz w:val="22"/>
          <w:szCs w:val="22"/>
        </w:rPr>
        <w:t>s. Así, debe comenzarse con el I</w:t>
      </w:r>
      <w:r w:rsidR="006D6FF7" w:rsidRPr="0045713D">
        <w:rPr>
          <w:rFonts w:ascii="Arial" w:hAnsi="Arial" w:cs="Arial"/>
          <w:sz w:val="22"/>
          <w:szCs w:val="22"/>
        </w:rPr>
        <w:t>nforme 85/2018</w:t>
      </w:r>
      <w:r w:rsidR="006E7230" w:rsidRPr="0045713D">
        <w:rPr>
          <w:rFonts w:ascii="Arial" w:hAnsi="Arial" w:cs="Arial"/>
          <w:sz w:val="22"/>
          <w:szCs w:val="22"/>
        </w:rPr>
        <w:t>, de 25 de mayo de 2020, de la Junta Consultiva de Contratación Pública del</w:t>
      </w:r>
      <w:r w:rsidR="00764EAA" w:rsidRPr="0045713D">
        <w:rPr>
          <w:rFonts w:ascii="Arial" w:hAnsi="Arial" w:cs="Arial"/>
          <w:sz w:val="22"/>
          <w:szCs w:val="22"/>
        </w:rPr>
        <w:t xml:space="preserve"> Estado sobre e</w:t>
      </w:r>
      <w:r w:rsidR="006E7230" w:rsidRPr="0045713D">
        <w:rPr>
          <w:rFonts w:ascii="Arial" w:hAnsi="Arial" w:cs="Arial"/>
          <w:sz w:val="22"/>
          <w:szCs w:val="22"/>
        </w:rPr>
        <w:t>xceso</w:t>
      </w:r>
      <w:r w:rsidR="00764EAA" w:rsidRPr="0045713D">
        <w:rPr>
          <w:rFonts w:ascii="Arial" w:hAnsi="Arial" w:cs="Arial"/>
          <w:sz w:val="22"/>
          <w:szCs w:val="22"/>
        </w:rPr>
        <w:t>s</w:t>
      </w:r>
      <w:r w:rsidR="006E7230" w:rsidRPr="0045713D">
        <w:rPr>
          <w:rFonts w:ascii="Arial" w:hAnsi="Arial" w:cs="Arial"/>
          <w:sz w:val="22"/>
          <w:szCs w:val="22"/>
        </w:rPr>
        <w:t xml:space="preserve"> de medición, régimen de modificación del contrato de obras y otras </w:t>
      </w:r>
      <w:r w:rsidR="00764EAA" w:rsidRPr="0045713D">
        <w:rPr>
          <w:rFonts w:ascii="Arial" w:hAnsi="Arial" w:cs="Arial"/>
          <w:sz w:val="22"/>
          <w:szCs w:val="22"/>
        </w:rPr>
        <w:t>cuestiones, que analizando el artículo 242.4.ii de la LCSP dice que</w:t>
      </w:r>
      <w:r w:rsidR="00BD6898" w:rsidRPr="0045713D">
        <w:rPr>
          <w:rFonts w:ascii="Arial" w:hAnsi="Arial" w:cs="Arial"/>
          <w:i/>
          <w:sz w:val="22"/>
          <w:szCs w:val="22"/>
        </w:rPr>
        <w:t xml:space="preserve"> “</w:t>
      </w:r>
      <w:r w:rsidR="00764EAA" w:rsidRPr="0045713D">
        <w:rPr>
          <w:rFonts w:ascii="Arial" w:hAnsi="Arial" w:cs="Arial"/>
          <w:i/>
          <w:sz w:val="22"/>
          <w:szCs w:val="22"/>
        </w:rPr>
        <w:t>Se trata de dos límites: el primero, referente al precio del contrato; el segundo, que limita objetivamente el marco sobre el que puede recaer la inclusión de precios nuevos, de modo que no puede afectar a concretas unidades de obra descritas en el proyecto que en su conjunto representen, por su valor, más del 3% del precio de adjudicación”</w:t>
      </w:r>
      <w:r w:rsidR="006D6FF7" w:rsidRPr="0045713D">
        <w:rPr>
          <w:rFonts w:ascii="Arial" w:hAnsi="Arial" w:cs="Arial"/>
          <w:i/>
          <w:sz w:val="22"/>
          <w:szCs w:val="22"/>
        </w:rPr>
        <w:t xml:space="preserve">; </w:t>
      </w:r>
      <w:r w:rsidR="006D6FF7" w:rsidRPr="0045713D">
        <w:rPr>
          <w:rFonts w:ascii="Arial" w:hAnsi="Arial" w:cs="Arial"/>
          <w:sz w:val="22"/>
          <w:szCs w:val="22"/>
        </w:rPr>
        <w:t xml:space="preserve">también señala la </w:t>
      </w:r>
      <w:proofErr w:type="spellStart"/>
      <w:r w:rsidR="006D6FF7" w:rsidRPr="0045713D">
        <w:rPr>
          <w:rFonts w:ascii="Arial" w:hAnsi="Arial" w:cs="Arial"/>
          <w:sz w:val="22"/>
          <w:szCs w:val="22"/>
        </w:rPr>
        <w:t>JCCA</w:t>
      </w:r>
      <w:r w:rsidR="004C2F0F" w:rsidRPr="0045713D">
        <w:rPr>
          <w:rFonts w:ascii="Arial" w:hAnsi="Arial" w:cs="Arial"/>
          <w:sz w:val="22"/>
          <w:szCs w:val="22"/>
        </w:rPr>
        <w:t>E</w:t>
      </w:r>
      <w:proofErr w:type="spellEnd"/>
      <w:r w:rsidR="004C2F0F" w:rsidRPr="0045713D">
        <w:rPr>
          <w:rFonts w:ascii="Arial" w:hAnsi="Arial" w:cs="Arial"/>
          <w:sz w:val="22"/>
          <w:szCs w:val="22"/>
        </w:rPr>
        <w:t xml:space="preserve"> en este informe que </w:t>
      </w:r>
      <w:r w:rsidR="004C2F0F" w:rsidRPr="0045713D">
        <w:rPr>
          <w:rFonts w:ascii="Arial" w:hAnsi="Arial" w:cs="Arial"/>
          <w:i/>
          <w:sz w:val="22"/>
          <w:szCs w:val="22"/>
        </w:rPr>
        <w:t>“</w:t>
      </w:r>
      <w:r w:rsidR="00A11819" w:rsidRPr="0045713D">
        <w:rPr>
          <w:rFonts w:ascii="Arial" w:hAnsi="Arial" w:cs="Arial"/>
          <w:i/>
          <w:sz w:val="22"/>
          <w:szCs w:val="22"/>
        </w:rPr>
        <w:t xml:space="preserve">En </w:t>
      </w:r>
      <w:r w:rsidR="00A11819" w:rsidRPr="0045713D">
        <w:rPr>
          <w:rFonts w:ascii="Arial" w:hAnsi="Arial" w:cs="Arial"/>
          <w:i/>
          <w:sz w:val="22"/>
          <w:szCs w:val="22"/>
        </w:rPr>
        <w:lastRenderedPageBreak/>
        <w:t>el exceso de mediciones lo que ocurre es que, tras la correcta ejecución</w:t>
      </w:r>
      <w:r w:rsidR="00EA77D7" w:rsidRPr="0045713D">
        <w:rPr>
          <w:rFonts w:ascii="Arial" w:hAnsi="Arial" w:cs="Arial"/>
          <w:i/>
          <w:sz w:val="22"/>
          <w:szCs w:val="22"/>
        </w:rPr>
        <w:t xml:space="preserve"> </w:t>
      </w:r>
      <w:r w:rsidR="00A11819" w:rsidRPr="0045713D">
        <w:rPr>
          <w:rFonts w:ascii="Arial" w:hAnsi="Arial" w:cs="Arial"/>
          <w:i/>
          <w:sz w:val="22"/>
          <w:szCs w:val="22"/>
        </w:rPr>
        <w:t xml:space="preserve">de lo previsto en el proyecto, la medición revela que aquel no calculó correctamente las unidades de obra necesarias para llevarlo a cabo y, en consecuencia, los precios han de ser los que en su día se pactaron. En los casos de modificación, por el contrario, se introducen unidades nuevas o cualitativamente diferentes, por lo que los precios a aplicar deben cambiar y fijarse ex </w:t>
      </w:r>
      <w:proofErr w:type="spellStart"/>
      <w:r w:rsidR="00A11819" w:rsidRPr="0045713D">
        <w:rPr>
          <w:rFonts w:ascii="Arial" w:hAnsi="Arial" w:cs="Arial"/>
          <w:i/>
          <w:sz w:val="22"/>
          <w:szCs w:val="22"/>
        </w:rPr>
        <w:t>novo</w:t>
      </w:r>
      <w:proofErr w:type="spellEnd"/>
      <w:r w:rsidR="00A11819" w:rsidRPr="0045713D">
        <w:rPr>
          <w:rFonts w:ascii="Arial" w:hAnsi="Arial" w:cs="Arial"/>
          <w:i/>
          <w:sz w:val="22"/>
          <w:szCs w:val="22"/>
        </w:rPr>
        <w:t>.”</w:t>
      </w:r>
      <w:r w:rsidR="00660B88" w:rsidRPr="0045713D">
        <w:rPr>
          <w:rFonts w:ascii="Arial" w:hAnsi="Arial" w:cs="Arial"/>
          <w:sz w:val="22"/>
          <w:szCs w:val="22"/>
        </w:rPr>
        <w:t xml:space="preserve"> y que </w:t>
      </w:r>
      <w:r w:rsidR="00660B88" w:rsidRPr="0045713D">
        <w:rPr>
          <w:rFonts w:ascii="Arial" w:hAnsi="Arial" w:cs="Arial"/>
          <w:i/>
          <w:sz w:val="22"/>
          <w:szCs w:val="22"/>
        </w:rPr>
        <w:t>“El artículo 242 LCSP diferencia un supuesto de modificación del contrato como es la introducción de unidades de obra no previstas o cuyas características difieran del proyecto, y dos supuestos que no tienen la consideración de modificación del contrato: el exceso de mediciones y la inclusión de precios nuevos.”</w:t>
      </w:r>
    </w:p>
    <w:p w14:paraId="3D736AEA" w14:textId="77777777" w:rsidR="00A11819" w:rsidRPr="0045713D" w:rsidRDefault="00A11819" w:rsidP="00A07E6E">
      <w:pPr>
        <w:jc w:val="both"/>
        <w:rPr>
          <w:rFonts w:ascii="Arial" w:hAnsi="Arial" w:cs="Arial"/>
          <w:i/>
          <w:sz w:val="22"/>
          <w:szCs w:val="22"/>
        </w:rPr>
      </w:pPr>
    </w:p>
    <w:p w14:paraId="0FD968BB" w14:textId="77777777" w:rsidR="00B14EDA" w:rsidRPr="0045713D" w:rsidRDefault="00A11819" w:rsidP="00A07E6E">
      <w:pPr>
        <w:jc w:val="both"/>
        <w:rPr>
          <w:rFonts w:ascii="Arial" w:hAnsi="Arial" w:cs="Arial"/>
          <w:i/>
          <w:sz w:val="22"/>
          <w:szCs w:val="22"/>
        </w:rPr>
      </w:pPr>
      <w:r w:rsidRPr="0045713D">
        <w:rPr>
          <w:rFonts w:ascii="Arial" w:hAnsi="Arial" w:cs="Arial"/>
          <w:sz w:val="22"/>
          <w:szCs w:val="22"/>
        </w:rPr>
        <w:t>A continuación</w:t>
      </w:r>
      <w:r w:rsidR="00BD6898" w:rsidRPr="0045713D">
        <w:rPr>
          <w:rFonts w:ascii="Arial" w:hAnsi="Arial" w:cs="Arial"/>
          <w:sz w:val="22"/>
          <w:szCs w:val="22"/>
        </w:rPr>
        <w:t>, hay que aludir al Informe 1/2019, de 5 de febrero de 2020,</w:t>
      </w:r>
      <w:r w:rsidR="00B0046D" w:rsidRPr="0045713D">
        <w:rPr>
          <w:rFonts w:ascii="Arial" w:hAnsi="Arial" w:cs="Arial"/>
          <w:sz w:val="22"/>
          <w:szCs w:val="22"/>
        </w:rPr>
        <w:t xml:space="preserve"> de la Comisión consultiva de contrataci</w:t>
      </w:r>
      <w:r w:rsidR="00E40F18" w:rsidRPr="0045713D">
        <w:rPr>
          <w:rFonts w:ascii="Arial" w:hAnsi="Arial" w:cs="Arial"/>
          <w:sz w:val="22"/>
          <w:szCs w:val="22"/>
        </w:rPr>
        <w:t>ón administrativa de la Junta de Andalucía</w:t>
      </w:r>
      <w:r w:rsidR="00BD6898" w:rsidRPr="0045713D">
        <w:rPr>
          <w:rFonts w:ascii="Arial" w:hAnsi="Arial" w:cs="Arial"/>
          <w:sz w:val="22"/>
          <w:szCs w:val="22"/>
        </w:rPr>
        <w:t xml:space="preserve"> sobre la necesidad de la aprobación con carácter previo por parte del órgano de contratación de las modificaciones del proyecto en los contratos de obras que haciendo alusión a la normativa anterior señala que “</w:t>
      </w:r>
      <w:r w:rsidR="00BD6898" w:rsidRPr="0045713D">
        <w:rPr>
          <w:rFonts w:ascii="Arial" w:hAnsi="Arial" w:cs="Arial"/>
          <w:i/>
          <w:sz w:val="22"/>
          <w:szCs w:val="22"/>
        </w:rPr>
        <w:t xml:space="preserve">Frente a lo establecido en el </w:t>
      </w:r>
      <w:proofErr w:type="spellStart"/>
      <w:r w:rsidR="00BD6898" w:rsidRPr="0045713D">
        <w:rPr>
          <w:rFonts w:ascii="Arial" w:hAnsi="Arial" w:cs="Arial"/>
          <w:i/>
          <w:sz w:val="22"/>
          <w:szCs w:val="22"/>
        </w:rPr>
        <w:t>TRLCSP</w:t>
      </w:r>
      <w:proofErr w:type="spellEnd"/>
      <w:r w:rsidR="00BD6898" w:rsidRPr="0045713D">
        <w:rPr>
          <w:rFonts w:ascii="Arial" w:hAnsi="Arial" w:cs="Arial"/>
          <w:i/>
          <w:sz w:val="22"/>
          <w:szCs w:val="22"/>
        </w:rPr>
        <w:t xml:space="preserve"> en el que se aludía a que “podrán introducirse variaciones sin necesidad de previa aprobación”, la Ley 9/2017, de 8 de noviembre, de Contratos del Sector Público, en su artículo 242.4 señala expresamente que estas variaciones ya no tendrán la consideración de modificaciones, introduciendo además una nueva excepción”</w:t>
      </w:r>
    </w:p>
    <w:p w14:paraId="2293799E" w14:textId="77777777" w:rsidR="00054C06" w:rsidRPr="0045713D" w:rsidRDefault="00054C06" w:rsidP="00A07E6E">
      <w:pPr>
        <w:jc w:val="both"/>
        <w:rPr>
          <w:rFonts w:ascii="Arial" w:hAnsi="Arial" w:cs="Arial"/>
          <w:i/>
          <w:sz w:val="22"/>
          <w:szCs w:val="22"/>
        </w:rPr>
      </w:pPr>
    </w:p>
    <w:p w14:paraId="0EAD7845" w14:textId="77777777" w:rsidR="00054C06" w:rsidRPr="0045713D" w:rsidRDefault="00054C06" w:rsidP="00A07E6E">
      <w:pPr>
        <w:jc w:val="both"/>
        <w:rPr>
          <w:rFonts w:ascii="Arial" w:hAnsi="Arial" w:cs="Arial"/>
          <w:sz w:val="22"/>
          <w:szCs w:val="22"/>
        </w:rPr>
      </w:pPr>
      <w:r w:rsidRPr="0045713D">
        <w:rPr>
          <w:rFonts w:ascii="Arial" w:hAnsi="Arial" w:cs="Arial"/>
          <w:sz w:val="22"/>
          <w:szCs w:val="22"/>
        </w:rPr>
        <w:t>Posteriormente, el Informe 4</w:t>
      </w:r>
      <w:r w:rsidR="00212F53" w:rsidRPr="0045713D">
        <w:rPr>
          <w:rFonts w:ascii="Arial" w:hAnsi="Arial" w:cs="Arial"/>
          <w:sz w:val="22"/>
          <w:szCs w:val="22"/>
        </w:rPr>
        <w:t>/</w:t>
      </w:r>
      <w:r w:rsidRPr="0045713D">
        <w:rPr>
          <w:rFonts w:ascii="Arial" w:hAnsi="Arial" w:cs="Arial"/>
          <w:sz w:val="22"/>
          <w:szCs w:val="22"/>
        </w:rPr>
        <w:t>2019, de 25 de febrero de 2020.</w:t>
      </w:r>
      <w:r w:rsidR="006128C2" w:rsidRPr="0045713D">
        <w:rPr>
          <w:rFonts w:ascii="Arial" w:hAnsi="Arial" w:cs="Arial"/>
          <w:sz w:val="22"/>
          <w:szCs w:val="22"/>
        </w:rPr>
        <w:t>de la Junta Superior de C</w:t>
      </w:r>
      <w:r w:rsidR="00E40F18" w:rsidRPr="0045713D">
        <w:rPr>
          <w:rFonts w:ascii="Arial" w:hAnsi="Arial" w:cs="Arial"/>
          <w:sz w:val="22"/>
          <w:szCs w:val="22"/>
        </w:rPr>
        <w:t>ontratación de Valencia titulado</w:t>
      </w:r>
      <w:r w:rsidR="006128C2" w:rsidRPr="0045713D">
        <w:rPr>
          <w:rFonts w:ascii="Arial" w:hAnsi="Arial" w:cs="Arial"/>
          <w:sz w:val="22"/>
          <w:szCs w:val="22"/>
        </w:rPr>
        <w:t xml:space="preserve"> </w:t>
      </w:r>
      <w:r w:rsidR="00E40F18" w:rsidRPr="0045713D">
        <w:rPr>
          <w:rFonts w:ascii="Arial" w:hAnsi="Arial" w:cs="Arial"/>
          <w:sz w:val="22"/>
          <w:szCs w:val="22"/>
        </w:rPr>
        <w:t>“</w:t>
      </w:r>
      <w:r w:rsidR="00E40F18" w:rsidRPr="0045713D">
        <w:rPr>
          <w:rFonts w:ascii="Arial" w:hAnsi="Arial" w:cs="Arial"/>
          <w:i/>
          <w:sz w:val="22"/>
          <w:szCs w:val="22"/>
        </w:rPr>
        <w:t>C</w:t>
      </w:r>
      <w:r w:rsidRPr="0045713D">
        <w:rPr>
          <w:rFonts w:ascii="Arial" w:hAnsi="Arial" w:cs="Arial"/>
          <w:i/>
          <w:sz w:val="22"/>
          <w:szCs w:val="22"/>
        </w:rPr>
        <w:t xml:space="preserve">onsideración o no de la modificación del contrato por la introducción de unidades nuevas. </w:t>
      </w:r>
      <w:r w:rsidR="00E40F18" w:rsidRPr="0045713D">
        <w:rPr>
          <w:rFonts w:ascii="Arial" w:hAnsi="Arial" w:cs="Arial"/>
          <w:i/>
          <w:sz w:val="22"/>
          <w:szCs w:val="22"/>
        </w:rPr>
        <w:t>C</w:t>
      </w:r>
      <w:r w:rsidRPr="0045713D">
        <w:rPr>
          <w:rFonts w:ascii="Arial" w:hAnsi="Arial" w:cs="Arial"/>
          <w:i/>
          <w:sz w:val="22"/>
          <w:szCs w:val="22"/>
        </w:rPr>
        <w:t xml:space="preserve">oncepto de presupuesto primitivo o precio inicial del contrato en la aplicación de las excepciones del artículo 242.4 de la </w:t>
      </w:r>
      <w:r w:rsidR="00212F53" w:rsidRPr="0045713D">
        <w:rPr>
          <w:rFonts w:ascii="Arial" w:hAnsi="Arial" w:cs="Arial"/>
          <w:i/>
          <w:sz w:val="22"/>
          <w:szCs w:val="22"/>
        </w:rPr>
        <w:t>LCSP</w:t>
      </w:r>
      <w:r w:rsidR="00E40F18" w:rsidRPr="0045713D">
        <w:rPr>
          <w:rFonts w:ascii="Arial" w:hAnsi="Arial" w:cs="Arial"/>
          <w:i/>
          <w:sz w:val="22"/>
          <w:szCs w:val="22"/>
        </w:rPr>
        <w:t>”</w:t>
      </w:r>
      <w:r w:rsidR="006128C2" w:rsidRPr="0045713D">
        <w:rPr>
          <w:rFonts w:ascii="Arial" w:hAnsi="Arial" w:cs="Arial"/>
          <w:i/>
          <w:sz w:val="22"/>
          <w:szCs w:val="22"/>
        </w:rPr>
        <w:t>,</w:t>
      </w:r>
      <w:r w:rsidR="006128C2" w:rsidRPr="0045713D">
        <w:rPr>
          <w:rFonts w:ascii="Arial" w:hAnsi="Arial" w:cs="Arial"/>
          <w:sz w:val="22"/>
          <w:szCs w:val="22"/>
        </w:rPr>
        <w:t xml:space="preserve"> expone</w:t>
      </w:r>
      <w:r w:rsidR="00E40F18" w:rsidRPr="0045713D">
        <w:rPr>
          <w:rFonts w:ascii="Arial" w:hAnsi="Arial" w:cs="Arial"/>
          <w:sz w:val="22"/>
          <w:szCs w:val="22"/>
        </w:rPr>
        <w:t xml:space="preserve"> dos cuestiones</w:t>
      </w:r>
      <w:r w:rsidR="006128C2" w:rsidRPr="0045713D">
        <w:rPr>
          <w:rFonts w:ascii="Arial" w:hAnsi="Arial" w:cs="Arial"/>
          <w:sz w:val="22"/>
          <w:szCs w:val="22"/>
        </w:rPr>
        <w:t xml:space="preserve"> respecto a las excepciones</w:t>
      </w:r>
      <w:r w:rsidR="00333AEF" w:rsidRPr="0045713D">
        <w:rPr>
          <w:rFonts w:ascii="Arial" w:hAnsi="Arial" w:cs="Arial"/>
          <w:sz w:val="22"/>
          <w:szCs w:val="22"/>
        </w:rPr>
        <w:t xml:space="preserve"> a la </w:t>
      </w:r>
      <w:r w:rsidR="006128C2" w:rsidRPr="0045713D">
        <w:rPr>
          <w:rFonts w:ascii="Arial" w:hAnsi="Arial" w:cs="Arial"/>
          <w:sz w:val="22"/>
          <w:szCs w:val="22"/>
        </w:rPr>
        <w:t xml:space="preserve">consideración de modificaciones contractuales </w:t>
      </w:r>
      <w:r w:rsidR="00E40F18" w:rsidRPr="0045713D">
        <w:rPr>
          <w:rFonts w:ascii="Arial" w:hAnsi="Arial" w:cs="Arial"/>
          <w:sz w:val="22"/>
          <w:szCs w:val="22"/>
        </w:rPr>
        <w:t>cuando</w:t>
      </w:r>
      <w:r w:rsidR="006128C2" w:rsidRPr="0045713D">
        <w:rPr>
          <w:rFonts w:ascii="Arial" w:hAnsi="Arial" w:cs="Arial"/>
          <w:sz w:val="22"/>
          <w:szCs w:val="22"/>
        </w:rPr>
        <w:t xml:space="preserve"> dic</w:t>
      </w:r>
      <w:r w:rsidR="00333AEF" w:rsidRPr="0045713D">
        <w:rPr>
          <w:rFonts w:ascii="Arial" w:hAnsi="Arial" w:cs="Arial"/>
          <w:sz w:val="22"/>
          <w:szCs w:val="22"/>
        </w:rPr>
        <w:t>e</w:t>
      </w:r>
      <w:r w:rsidR="006128C2" w:rsidRPr="0045713D">
        <w:rPr>
          <w:rFonts w:ascii="Arial" w:hAnsi="Arial" w:cs="Arial"/>
          <w:sz w:val="22"/>
          <w:szCs w:val="22"/>
        </w:rPr>
        <w:t xml:space="preserve"> “</w:t>
      </w:r>
      <w:r w:rsidR="00333AEF" w:rsidRPr="0045713D">
        <w:rPr>
          <w:rFonts w:ascii="Arial" w:hAnsi="Arial" w:cs="Arial"/>
          <w:i/>
          <w:sz w:val="22"/>
          <w:szCs w:val="22"/>
        </w:rPr>
        <w:t xml:space="preserve">Obsérvese que, en ambos casos, tales excepciones no comprenden cambios que supongan la introducción o adición de unidades de obra nuevas y, por tanto, respecto de la cuestión planteada en la consulta ha de concluirse que, en el supuesto de que se introduzcan unidades nuevas, no cabe considerarlo incluido en la excepción (ii)…” </w:t>
      </w:r>
      <w:r w:rsidR="000C14D7" w:rsidRPr="0045713D">
        <w:rPr>
          <w:rFonts w:ascii="Arial" w:hAnsi="Arial" w:cs="Arial"/>
          <w:i/>
          <w:sz w:val="22"/>
          <w:szCs w:val="22"/>
        </w:rPr>
        <w:t xml:space="preserve"> </w:t>
      </w:r>
      <w:r w:rsidR="000C14D7" w:rsidRPr="0045713D">
        <w:rPr>
          <w:rFonts w:ascii="Arial" w:hAnsi="Arial" w:cs="Arial"/>
          <w:sz w:val="22"/>
          <w:szCs w:val="22"/>
        </w:rPr>
        <w:t xml:space="preserve">y sobre los conceptos presupuesto primitivo del contrato o el precio global del contrato señala que se trata de </w:t>
      </w:r>
      <w:r w:rsidR="000C14D7" w:rsidRPr="0045713D">
        <w:rPr>
          <w:rFonts w:ascii="Arial" w:hAnsi="Arial" w:cs="Arial"/>
          <w:i/>
          <w:sz w:val="22"/>
          <w:szCs w:val="22"/>
        </w:rPr>
        <w:t>“conceptos jurídicamente indeterminados en la medida que no cuentan con un desarrollo reglamentario que los precisen más o los pongan en relación con otros conceptos como el presupuesto de ejecución material de las obras o el precio del contrato.”</w:t>
      </w:r>
    </w:p>
    <w:p w14:paraId="1264BFEC" w14:textId="77777777" w:rsidR="00E510B2" w:rsidRPr="0045713D" w:rsidRDefault="00E510B2" w:rsidP="00A07E6E">
      <w:pPr>
        <w:autoSpaceDE w:val="0"/>
        <w:autoSpaceDN w:val="0"/>
        <w:adjustRightInd w:val="0"/>
        <w:jc w:val="both"/>
        <w:rPr>
          <w:rFonts w:ascii="Arial" w:hAnsi="Arial" w:cs="Arial"/>
          <w:sz w:val="22"/>
          <w:szCs w:val="22"/>
        </w:rPr>
      </w:pPr>
    </w:p>
    <w:p w14:paraId="67C6B104" w14:textId="0E0935E1" w:rsidR="00993A76" w:rsidRPr="0045713D" w:rsidRDefault="00FD27B4" w:rsidP="00A07E6E">
      <w:pPr>
        <w:autoSpaceDE w:val="0"/>
        <w:autoSpaceDN w:val="0"/>
        <w:adjustRightInd w:val="0"/>
        <w:jc w:val="both"/>
        <w:rPr>
          <w:rFonts w:ascii="Arial" w:hAnsi="Arial" w:cs="Arial"/>
          <w:i/>
          <w:sz w:val="22"/>
          <w:szCs w:val="22"/>
          <w:lang w:val="es-ES" w:eastAsia="es-ES"/>
        </w:rPr>
      </w:pPr>
      <w:r w:rsidRPr="0045713D">
        <w:rPr>
          <w:rFonts w:ascii="Arial" w:hAnsi="Arial" w:cs="Arial"/>
          <w:sz w:val="22"/>
          <w:szCs w:val="22"/>
        </w:rPr>
        <w:t>Por último</w:t>
      </w:r>
      <w:r w:rsidR="009F666E" w:rsidRPr="0045713D">
        <w:rPr>
          <w:rFonts w:ascii="Arial" w:hAnsi="Arial" w:cs="Arial"/>
          <w:sz w:val="22"/>
          <w:szCs w:val="22"/>
        </w:rPr>
        <w:t>, debe hacerse referencia al Informe 2/2022, de 21 de febrero, de la Junta Consultiva de Contratación Administrativa de la Comunidad Autónoma de Aragón relativo a la “</w:t>
      </w:r>
      <w:r w:rsidR="009F666E" w:rsidRPr="0045713D">
        <w:rPr>
          <w:rFonts w:ascii="Arial" w:hAnsi="Arial" w:cs="Arial"/>
          <w:i/>
          <w:sz w:val="22"/>
          <w:szCs w:val="22"/>
        </w:rPr>
        <w:t>Licitación conjunta de dos proyectos de obra. Unidades de obra sobre las que procedería aplicar la actualización puntual de precios regulada en el artículo 242.4. ii. de la LCSP, sin la necesidad de tramitar una modificación contractual”</w:t>
      </w:r>
      <w:r w:rsidR="006D73D4" w:rsidRPr="0045713D">
        <w:rPr>
          <w:rFonts w:ascii="Arial" w:hAnsi="Arial" w:cs="Arial"/>
          <w:sz w:val="22"/>
          <w:szCs w:val="22"/>
        </w:rPr>
        <w:t xml:space="preserve"> que señala que “</w:t>
      </w:r>
      <w:r w:rsidR="006D73D4" w:rsidRPr="0045713D">
        <w:rPr>
          <w:rFonts w:ascii="Arial" w:hAnsi="Arial" w:cs="Arial"/>
          <w:i/>
          <w:sz w:val="22"/>
          <w:szCs w:val="22"/>
          <w:lang w:val="es-ES" w:eastAsia="es-ES"/>
        </w:rPr>
        <w:t>El artículo 242.4 ii de la LCSP permite de forma excepcional y muy delimitada la posibilidad de incluir precios nuevos en el contrato que se está ejecutando sin suponer una modificación del mismo, a través de la figura del director facultativo de la obra, como forma de resolver problemas puntuales de ejecución ocasionados por pequeñas alteraciones en alguno de los precios de los</w:t>
      </w:r>
      <w:r w:rsidR="006D73D4" w:rsidRPr="0045713D">
        <w:rPr>
          <w:rFonts w:ascii="Arial" w:hAnsi="Arial" w:cs="Arial"/>
          <w:i/>
          <w:sz w:val="22"/>
          <w:szCs w:val="22"/>
        </w:rPr>
        <w:t xml:space="preserve"> </w:t>
      </w:r>
      <w:r w:rsidR="006D73D4" w:rsidRPr="0045713D">
        <w:rPr>
          <w:rFonts w:ascii="Arial" w:hAnsi="Arial" w:cs="Arial"/>
          <w:i/>
          <w:sz w:val="22"/>
          <w:szCs w:val="22"/>
          <w:lang w:val="es-ES" w:eastAsia="es-ES"/>
        </w:rPr>
        <w:t>materiales que componen alguna unidad de obra, pero literalmente no está permitiendo la introducción de una unidad de obra nueva completa, por lo que la excepción no puede tener una interpretación extensiva, y más cuando este supuesto es considerado por la norma como modificación contractual en el mismo artículo.”</w:t>
      </w:r>
    </w:p>
    <w:p w14:paraId="4C81CB4E" w14:textId="77777777" w:rsidR="006D316C" w:rsidRPr="0045713D" w:rsidRDefault="006D316C" w:rsidP="00A07E6E">
      <w:pPr>
        <w:autoSpaceDE w:val="0"/>
        <w:autoSpaceDN w:val="0"/>
        <w:adjustRightInd w:val="0"/>
        <w:jc w:val="both"/>
        <w:rPr>
          <w:rFonts w:ascii="Arial" w:hAnsi="Arial" w:cs="Arial"/>
          <w:i/>
          <w:sz w:val="22"/>
          <w:szCs w:val="22"/>
          <w:lang w:val="es-ES" w:eastAsia="es-ES"/>
        </w:rPr>
      </w:pPr>
    </w:p>
    <w:p w14:paraId="39108CBE" w14:textId="669AC6BA" w:rsidR="00AC0B87" w:rsidRPr="0045713D" w:rsidRDefault="006D316C" w:rsidP="00A07E6E">
      <w:pPr>
        <w:autoSpaceDE w:val="0"/>
        <w:autoSpaceDN w:val="0"/>
        <w:adjustRightInd w:val="0"/>
        <w:jc w:val="both"/>
        <w:rPr>
          <w:rFonts w:ascii="Arial" w:hAnsi="Arial" w:cs="Arial"/>
          <w:i/>
          <w:sz w:val="22"/>
          <w:szCs w:val="22"/>
        </w:rPr>
      </w:pPr>
      <w:r w:rsidRPr="0045713D">
        <w:rPr>
          <w:rFonts w:ascii="Arial" w:hAnsi="Arial" w:cs="Arial"/>
          <w:sz w:val="22"/>
          <w:szCs w:val="22"/>
          <w:lang w:val="es-ES" w:eastAsia="es-ES"/>
        </w:rPr>
        <w:t xml:space="preserve">En lo relativo a los excesos de medición, es decir, la ejecución de más unidades de obra que las previstas en el proyecto la </w:t>
      </w:r>
      <w:r w:rsidRPr="0045713D">
        <w:rPr>
          <w:rFonts w:ascii="Arial" w:hAnsi="Arial" w:cs="Arial"/>
          <w:sz w:val="22"/>
          <w:szCs w:val="22"/>
        </w:rPr>
        <w:t xml:space="preserve">Junta Consultiva de Contratación Pública del Estado se ha pronunciado en numerosas ocasiones (informes 16/06, </w:t>
      </w:r>
      <w:r w:rsidR="00D24361" w:rsidRPr="0045713D">
        <w:rPr>
          <w:rFonts w:ascii="Arial" w:hAnsi="Arial" w:cs="Arial"/>
          <w:sz w:val="22"/>
          <w:szCs w:val="22"/>
        </w:rPr>
        <w:t xml:space="preserve">43/08, </w:t>
      </w:r>
      <w:r w:rsidRPr="0045713D">
        <w:rPr>
          <w:rFonts w:ascii="Arial" w:hAnsi="Arial" w:cs="Arial"/>
          <w:sz w:val="22"/>
          <w:szCs w:val="22"/>
        </w:rPr>
        <w:t>85/18 o 57/19), fijando su d</w:t>
      </w:r>
      <w:r w:rsidR="00FB71A8" w:rsidRPr="0045713D">
        <w:rPr>
          <w:rFonts w:ascii="Arial" w:hAnsi="Arial" w:cs="Arial"/>
          <w:sz w:val="22"/>
          <w:szCs w:val="22"/>
        </w:rPr>
        <w:t>octrina en el informe 16/06 diciendo que no existe</w:t>
      </w:r>
      <w:r w:rsidR="00FB71A8" w:rsidRPr="0045713D">
        <w:rPr>
          <w:rFonts w:ascii="Arial" w:hAnsi="Arial" w:cs="Arial"/>
          <w:i/>
          <w:sz w:val="22"/>
          <w:szCs w:val="22"/>
        </w:rPr>
        <w:t xml:space="preserve"> “ningún impedimento a la posibilidad de compensar excesos y </w:t>
      </w:r>
      <w:r w:rsidR="00FB71A8" w:rsidRPr="0045713D">
        <w:rPr>
          <w:rFonts w:ascii="Arial" w:hAnsi="Arial" w:cs="Arial"/>
          <w:i/>
          <w:sz w:val="22"/>
          <w:szCs w:val="22"/>
        </w:rPr>
        <w:lastRenderedPageBreak/>
        <w:t xml:space="preserve">defectos de medición a efectos del cómputo del límite del 10 por 100 “puesto que el artículo 160 del </w:t>
      </w:r>
      <w:proofErr w:type="spellStart"/>
      <w:r w:rsidR="00FB71A8" w:rsidRPr="0045713D">
        <w:rPr>
          <w:rFonts w:ascii="Arial" w:hAnsi="Arial" w:cs="Arial"/>
          <w:i/>
          <w:sz w:val="22"/>
          <w:szCs w:val="22"/>
        </w:rPr>
        <w:t>RGLCAP</w:t>
      </w:r>
      <w:proofErr w:type="spellEnd"/>
      <w:r w:rsidR="00FB71A8" w:rsidRPr="0045713D">
        <w:rPr>
          <w:rFonts w:ascii="Arial" w:hAnsi="Arial" w:cs="Arial"/>
          <w:i/>
          <w:sz w:val="22"/>
          <w:szCs w:val="22"/>
        </w:rPr>
        <w:t xml:space="preserve"> se refiere a variaciones y no a aumentos o reducciones en el número de unidades ejecutadas sobre las previstas de forma aislada. Por tanto, el límite del 10 por 100 ha de aplicarse sobre el saldo de dichos aumentos o reducciones, es decir, teniendo en cuenta la variación total que se produce en el número</w:t>
      </w:r>
      <w:r w:rsidR="00D24361" w:rsidRPr="0045713D">
        <w:rPr>
          <w:rFonts w:ascii="Arial" w:hAnsi="Arial" w:cs="Arial"/>
          <w:i/>
          <w:sz w:val="22"/>
          <w:szCs w:val="22"/>
        </w:rPr>
        <w:t xml:space="preserve"> </w:t>
      </w:r>
      <w:r w:rsidR="00FB71A8" w:rsidRPr="0045713D">
        <w:rPr>
          <w:rFonts w:ascii="Arial" w:hAnsi="Arial" w:cs="Arial"/>
          <w:i/>
          <w:sz w:val="22"/>
          <w:szCs w:val="22"/>
        </w:rPr>
        <w:t>de unidades ejecutadas.”</w:t>
      </w:r>
      <w:r w:rsidR="00D24361" w:rsidRPr="0045713D">
        <w:rPr>
          <w:rStyle w:val="Refdenotaalpie"/>
          <w:rFonts w:ascii="Arial" w:hAnsi="Arial" w:cs="Arial"/>
          <w:i/>
          <w:sz w:val="22"/>
          <w:szCs w:val="22"/>
        </w:rPr>
        <w:footnoteReference w:id="3"/>
      </w:r>
    </w:p>
    <w:p w14:paraId="5AC6A83B" w14:textId="77777777" w:rsidR="00A07E6E" w:rsidRPr="0045713D" w:rsidRDefault="00A07E6E" w:rsidP="00A07E6E">
      <w:pPr>
        <w:autoSpaceDE w:val="0"/>
        <w:autoSpaceDN w:val="0"/>
        <w:adjustRightInd w:val="0"/>
        <w:jc w:val="both"/>
        <w:rPr>
          <w:rFonts w:ascii="Arial" w:hAnsi="Arial" w:cs="Arial"/>
          <w:i/>
          <w:sz w:val="22"/>
          <w:szCs w:val="22"/>
        </w:rPr>
      </w:pPr>
    </w:p>
    <w:p w14:paraId="4B67598E" w14:textId="15B0C209" w:rsidR="009F666E" w:rsidRPr="0045713D" w:rsidRDefault="00993A76" w:rsidP="00A07E6E">
      <w:pPr>
        <w:jc w:val="center"/>
        <w:rPr>
          <w:rFonts w:ascii="Arial" w:hAnsi="Arial" w:cs="Arial"/>
          <w:b/>
          <w:sz w:val="22"/>
          <w:szCs w:val="22"/>
        </w:rPr>
      </w:pPr>
      <w:r w:rsidRPr="0045713D">
        <w:rPr>
          <w:rFonts w:ascii="Arial" w:hAnsi="Arial" w:cs="Arial"/>
          <w:b/>
          <w:sz w:val="22"/>
          <w:szCs w:val="22"/>
        </w:rPr>
        <w:t>II</w:t>
      </w:r>
      <w:r w:rsidR="009B1409" w:rsidRPr="0045713D">
        <w:rPr>
          <w:rFonts w:ascii="Arial" w:hAnsi="Arial" w:cs="Arial"/>
          <w:b/>
          <w:sz w:val="22"/>
          <w:szCs w:val="22"/>
        </w:rPr>
        <w:t>I</w:t>
      </w:r>
    </w:p>
    <w:p w14:paraId="56E3802A" w14:textId="77777777" w:rsidR="00993A76" w:rsidRPr="0045713D" w:rsidRDefault="00993A76" w:rsidP="00A07E6E">
      <w:pPr>
        <w:autoSpaceDE w:val="0"/>
        <w:autoSpaceDN w:val="0"/>
        <w:adjustRightInd w:val="0"/>
        <w:jc w:val="center"/>
        <w:rPr>
          <w:rFonts w:ascii="Arial" w:hAnsi="Arial" w:cs="Arial"/>
          <w:sz w:val="22"/>
          <w:szCs w:val="22"/>
        </w:rPr>
      </w:pPr>
      <w:r w:rsidRPr="0045713D">
        <w:rPr>
          <w:rFonts w:ascii="Arial" w:hAnsi="Arial" w:cs="Arial"/>
          <w:b/>
          <w:sz w:val="22"/>
          <w:szCs w:val="22"/>
        </w:rPr>
        <w:t>Expediente A/OBR-017354/2019</w:t>
      </w:r>
    </w:p>
    <w:p w14:paraId="70B8B474" w14:textId="77777777" w:rsidR="00993A76" w:rsidRPr="0045713D" w:rsidRDefault="00993A76" w:rsidP="00A07E6E">
      <w:pPr>
        <w:autoSpaceDE w:val="0"/>
        <w:autoSpaceDN w:val="0"/>
        <w:adjustRightInd w:val="0"/>
        <w:jc w:val="center"/>
        <w:rPr>
          <w:rFonts w:ascii="Arial" w:hAnsi="Arial" w:cs="Arial"/>
          <w:sz w:val="22"/>
          <w:szCs w:val="22"/>
        </w:rPr>
      </w:pPr>
    </w:p>
    <w:p w14:paraId="78EFC73D" w14:textId="77777777" w:rsidR="00993A76" w:rsidRPr="0045713D" w:rsidRDefault="00993A76" w:rsidP="00A07E6E">
      <w:pPr>
        <w:autoSpaceDE w:val="0"/>
        <w:autoSpaceDN w:val="0"/>
        <w:adjustRightInd w:val="0"/>
        <w:jc w:val="both"/>
        <w:rPr>
          <w:rFonts w:ascii="Arial" w:hAnsi="Arial" w:cs="Arial"/>
          <w:sz w:val="22"/>
          <w:szCs w:val="22"/>
        </w:rPr>
      </w:pPr>
      <w:r w:rsidRPr="0045713D">
        <w:rPr>
          <w:rFonts w:ascii="Arial" w:hAnsi="Arial" w:cs="Arial"/>
          <w:sz w:val="22"/>
          <w:szCs w:val="22"/>
        </w:rPr>
        <w:t>U</w:t>
      </w:r>
      <w:r w:rsidR="00B36A18" w:rsidRPr="0045713D">
        <w:rPr>
          <w:rFonts w:ascii="Arial" w:hAnsi="Arial" w:cs="Arial"/>
          <w:sz w:val="22"/>
          <w:szCs w:val="22"/>
        </w:rPr>
        <w:t>na vez expuesto, de forma sucinta, el régimen aplicable a la modificación del contrato de obras procede aplicarlo al expediente objeto de discrepancia para determinar si debería haberse tramitado una modificaci</w:t>
      </w:r>
      <w:r w:rsidR="003021B4" w:rsidRPr="0045713D">
        <w:rPr>
          <w:rFonts w:ascii="Arial" w:hAnsi="Arial" w:cs="Arial"/>
          <w:sz w:val="22"/>
          <w:szCs w:val="22"/>
        </w:rPr>
        <w:t>ón del proyecto o no.</w:t>
      </w:r>
    </w:p>
    <w:p w14:paraId="21BB6E2A" w14:textId="77777777" w:rsidR="006E4419" w:rsidRPr="0045713D" w:rsidRDefault="006E4419" w:rsidP="00A07E6E">
      <w:pPr>
        <w:autoSpaceDE w:val="0"/>
        <w:autoSpaceDN w:val="0"/>
        <w:adjustRightInd w:val="0"/>
        <w:jc w:val="both"/>
        <w:rPr>
          <w:rFonts w:ascii="Arial" w:hAnsi="Arial" w:cs="Arial"/>
          <w:sz w:val="22"/>
          <w:szCs w:val="22"/>
        </w:rPr>
      </w:pPr>
    </w:p>
    <w:p w14:paraId="3635E784" w14:textId="454B7C5D" w:rsidR="00CE4DE4" w:rsidRPr="0045713D" w:rsidRDefault="00930196" w:rsidP="00A07E6E">
      <w:pPr>
        <w:autoSpaceDE w:val="0"/>
        <w:autoSpaceDN w:val="0"/>
        <w:adjustRightInd w:val="0"/>
        <w:jc w:val="both"/>
        <w:rPr>
          <w:rFonts w:ascii="Arial" w:hAnsi="Arial" w:cs="Arial"/>
          <w:sz w:val="22"/>
          <w:szCs w:val="22"/>
        </w:rPr>
      </w:pPr>
      <w:r w:rsidRPr="0045713D">
        <w:rPr>
          <w:rFonts w:ascii="Arial" w:hAnsi="Arial" w:cs="Arial"/>
          <w:sz w:val="22"/>
          <w:szCs w:val="22"/>
        </w:rPr>
        <w:t>Para realizar</w:t>
      </w:r>
      <w:r w:rsidR="006E4419" w:rsidRPr="0045713D">
        <w:rPr>
          <w:rFonts w:ascii="Arial" w:hAnsi="Arial" w:cs="Arial"/>
          <w:sz w:val="22"/>
          <w:szCs w:val="22"/>
        </w:rPr>
        <w:t xml:space="preserve"> el estudio del expediente A/OBR-017354/2019 resulta oportuno comenzar </w:t>
      </w:r>
      <w:r w:rsidR="001861DE" w:rsidRPr="0045713D">
        <w:rPr>
          <w:rFonts w:ascii="Arial" w:hAnsi="Arial" w:cs="Arial"/>
          <w:sz w:val="22"/>
          <w:szCs w:val="22"/>
        </w:rPr>
        <w:t>con el análisis del informe técnico de los precios nuevos en el contrato de las obras de urbanización de la calle Montera entre las calles Gran Vía y Jardines y de la calle Caballero de Gracia de Madrid y del informe técnico justificativo sobre las unidades no ejecutables y los excesos de medición de la certificación nº7 y última de julio de 2021 del contrato de “</w:t>
      </w:r>
      <w:r w:rsidR="001861DE" w:rsidRPr="0045713D">
        <w:rPr>
          <w:rFonts w:ascii="Arial" w:hAnsi="Arial" w:cs="Arial"/>
          <w:i/>
          <w:sz w:val="22"/>
          <w:szCs w:val="22"/>
        </w:rPr>
        <w:t>proyecto de urbanización de la calle Montera entre las calles Gran Vía y Jardines y de la calle Caballero de Gracia de Madrid”,</w:t>
      </w:r>
      <w:r w:rsidR="001861DE" w:rsidRPr="0045713D">
        <w:rPr>
          <w:rFonts w:ascii="Arial" w:hAnsi="Arial" w:cs="Arial"/>
          <w:sz w:val="22"/>
          <w:szCs w:val="22"/>
        </w:rPr>
        <w:t xml:space="preserve"> ambos de 2 de agosto</w:t>
      </w:r>
      <w:r w:rsidR="00CE4DE4" w:rsidRPr="0045713D">
        <w:rPr>
          <w:rFonts w:ascii="Arial" w:hAnsi="Arial" w:cs="Arial"/>
          <w:sz w:val="22"/>
          <w:szCs w:val="22"/>
        </w:rPr>
        <w:t xml:space="preserve"> de 2021. </w:t>
      </w:r>
      <w:r w:rsidR="00A07E6E" w:rsidRPr="0045713D">
        <w:rPr>
          <w:rFonts w:ascii="Arial" w:hAnsi="Arial" w:cs="Arial"/>
          <w:sz w:val="22"/>
          <w:szCs w:val="22"/>
        </w:rPr>
        <w:t xml:space="preserve"> </w:t>
      </w:r>
      <w:r w:rsidR="00CE4DE4" w:rsidRPr="0045713D">
        <w:rPr>
          <w:rFonts w:ascii="Arial" w:hAnsi="Arial" w:cs="Arial"/>
          <w:sz w:val="22"/>
          <w:szCs w:val="22"/>
        </w:rPr>
        <w:t>Examinados los mismos, se comprueba que:</w:t>
      </w:r>
    </w:p>
    <w:p w14:paraId="7C256C74" w14:textId="77777777" w:rsidR="00FA1E4A" w:rsidRPr="0045713D" w:rsidRDefault="00FA1E4A" w:rsidP="00A07E6E">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1933"/>
        <w:gridCol w:w="3449"/>
        <w:gridCol w:w="2126"/>
        <w:gridCol w:w="1887"/>
      </w:tblGrid>
      <w:tr w:rsidR="00D51C14" w:rsidRPr="0045713D" w14:paraId="534AD44A" w14:textId="77777777" w:rsidTr="00D51C14">
        <w:tc>
          <w:tcPr>
            <w:tcW w:w="1933" w:type="dxa"/>
          </w:tcPr>
          <w:p w14:paraId="4CFF7710" w14:textId="77777777" w:rsidR="00D51C14" w:rsidRPr="0045713D" w:rsidRDefault="00D51C14" w:rsidP="00A07E6E">
            <w:pPr>
              <w:autoSpaceDE w:val="0"/>
              <w:autoSpaceDN w:val="0"/>
              <w:adjustRightInd w:val="0"/>
              <w:jc w:val="both"/>
              <w:rPr>
                <w:rFonts w:cs="Arial"/>
                <w:b/>
                <w:sz w:val="20"/>
                <w:szCs w:val="20"/>
              </w:rPr>
            </w:pPr>
            <w:r w:rsidRPr="0045713D">
              <w:rPr>
                <w:rFonts w:cs="Arial"/>
                <w:b/>
                <w:sz w:val="20"/>
                <w:szCs w:val="20"/>
              </w:rPr>
              <w:t>Unidad de obra</w:t>
            </w:r>
          </w:p>
        </w:tc>
        <w:tc>
          <w:tcPr>
            <w:tcW w:w="3449" w:type="dxa"/>
          </w:tcPr>
          <w:p w14:paraId="7F877EEB" w14:textId="77777777" w:rsidR="00D51C14" w:rsidRPr="0045713D" w:rsidRDefault="00D51C14" w:rsidP="00A07E6E">
            <w:pPr>
              <w:autoSpaceDE w:val="0"/>
              <w:autoSpaceDN w:val="0"/>
              <w:adjustRightInd w:val="0"/>
              <w:jc w:val="both"/>
              <w:rPr>
                <w:rFonts w:cs="Arial"/>
                <w:b/>
                <w:sz w:val="20"/>
                <w:szCs w:val="20"/>
              </w:rPr>
            </w:pPr>
            <w:r w:rsidRPr="0045713D">
              <w:rPr>
                <w:rFonts w:cs="Arial"/>
                <w:b/>
                <w:sz w:val="20"/>
                <w:szCs w:val="20"/>
              </w:rPr>
              <w:t>Denominación</w:t>
            </w:r>
          </w:p>
        </w:tc>
        <w:tc>
          <w:tcPr>
            <w:tcW w:w="2126" w:type="dxa"/>
          </w:tcPr>
          <w:p w14:paraId="0C1D02F9" w14:textId="77777777" w:rsidR="00D51C14" w:rsidRPr="0045713D" w:rsidRDefault="00D51C14" w:rsidP="00A07E6E">
            <w:pPr>
              <w:autoSpaceDE w:val="0"/>
              <w:autoSpaceDN w:val="0"/>
              <w:adjustRightInd w:val="0"/>
              <w:jc w:val="both"/>
              <w:rPr>
                <w:rFonts w:cs="Arial"/>
                <w:b/>
                <w:sz w:val="20"/>
                <w:szCs w:val="20"/>
              </w:rPr>
            </w:pPr>
            <w:r w:rsidRPr="0045713D">
              <w:rPr>
                <w:rFonts w:cs="Arial"/>
                <w:b/>
                <w:sz w:val="20"/>
                <w:szCs w:val="20"/>
              </w:rPr>
              <w:t>Unidad afectada por precios nuevos</w:t>
            </w:r>
          </w:p>
        </w:tc>
        <w:tc>
          <w:tcPr>
            <w:tcW w:w="1887" w:type="dxa"/>
          </w:tcPr>
          <w:p w14:paraId="5007B8D6" w14:textId="77777777" w:rsidR="00D51C14" w:rsidRPr="0045713D" w:rsidRDefault="00D51C14" w:rsidP="00A07E6E">
            <w:pPr>
              <w:autoSpaceDE w:val="0"/>
              <w:autoSpaceDN w:val="0"/>
              <w:adjustRightInd w:val="0"/>
              <w:jc w:val="both"/>
              <w:rPr>
                <w:rFonts w:cs="Arial"/>
                <w:b/>
                <w:sz w:val="20"/>
                <w:szCs w:val="20"/>
              </w:rPr>
            </w:pPr>
            <w:r w:rsidRPr="0045713D">
              <w:rPr>
                <w:rFonts w:cs="Arial"/>
                <w:b/>
                <w:sz w:val="20"/>
                <w:szCs w:val="20"/>
              </w:rPr>
              <w:t>Unidad que no se va a ejecutar</w:t>
            </w:r>
          </w:p>
        </w:tc>
      </w:tr>
      <w:tr w:rsidR="00D51C14" w:rsidRPr="0045713D" w14:paraId="368EBA3C" w14:textId="77777777" w:rsidTr="00D51C14">
        <w:tc>
          <w:tcPr>
            <w:tcW w:w="1933" w:type="dxa"/>
          </w:tcPr>
          <w:p w14:paraId="78BEFFF5" w14:textId="77777777" w:rsidR="00D51C14" w:rsidRPr="0045713D" w:rsidRDefault="008E4753" w:rsidP="00A07E6E">
            <w:pPr>
              <w:autoSpaceDE w:val="0"/>
              <w:autoSpaceDN w:val="0"/>
              <w:adjustRightInd w:val="0"/>
              <w:jc w:val="both"/>
              <w:rPr>
                <w:rFonts w:cs="Arial"/>
                <w:sz w:val="20"/>
                <w:szCs w:val="20"/>
              </w:rPr>
            </w:pPr>
            <w:r w:rsidRPr="0045713D">
              <w:rPr>
                <w:rFonts w:cs="Arial"/>
                <w:sz w:val="20"/>
                <w:szCs w:val="20"/>
              </w:rPr>
              <w:t>mU07A020</w:t>
            </w:r>
          </w:p>
        </w:tc>
        <w:tc>
          <w:tcPr>
            <w:tcW w:w="3449" w:type="dxa"/>
          </w:tcPr>
          <w:p w14:paraId="526E5B7B" w14:textId="77777777" w:rsidR="00D51C14" w:rsidRPr="0045713D" w:rsidRDefault="008E4753" w:rsidP="00A07E6E">
            <w:pPr>
              <w:autoSpaceDE w:val="0"/>
              <w:autoSpaceDN w:val="0"/>
              <w:adjustRightInd w:val="0"/>
              <w:jc w:val="both"/>
              <w:rPr>
                <w:rFonts w:cs="Arial"/>
                <w:sz w:val="20"/>
                <w:szCs w:val="20"/>
              </w:rPr>
            </w:pPr>
            <w:r w:rsidRPr="0045713D">
              <w:rPr>
                <w:rFonts w:cs="Arial"/>
                <w:sz w:val="20"/>
                <w:szCs w:val="20"/>
              </w:rPr>
              <w:t>FRESADO DEL PAVIMENTO</w:t>
            </w:r>
          </w:p>
        </w:tc>
        <w:tc>
          <w:tcPr>
            <w:tcW w:w="2126" w:type="dxa"/>
          </w:tcPr>
          <w:p w14:paraId="6EB852BA" w14:textId="77777777" w:rsidR="00D51C14" w:rsidRPr="0045713D" w:rsidRDefault="008E4753" w:rsidP="00A07E6E">
            <w:pPr>
              <w:autoSpaceDE w:val="0"/>
              <w:autoSpaceDN w:val="0"/>
              <w:adjustRightInd w:val="0"/>
              <w:jc w:val="center"/>
              <w:rPr>
                <w:rFonts w:cs="Arial"/>
                <w:sz w:val="20"/>
                <w:szCs w:val="20"/>
              </w:rPr>
            </w:pPr>
            <w:r w:rsidRPr="0045713D">
              <w:rPr>
                <w:rFonts w:cs="Arial"/>
                <w:sz w:val="20"/>
                <w:szCs w:val="20"/>
              </w:rPr>
              <w:t>SI</w:t>
            </w:r>
          </w:p>
        </w:tc>
        <w:tc>
          <w:tcPr>
            <w:tcW w:w="1887" w:type="dxa"/>
          </w:tcPr>
          <w:p w14:paraId="304A89A1" w14:textId="77777777" w:rsidR="00D51C14" w:rsidRPr="0045713D" w:rsidRDefault="008E4753" w:rsidP="00A07E6E">
            <w:pPr>
              <w:autoSpaceDE w:val="0"/>
              <w:autoSpaceDN w:val="0"/>
              <w:adjustRightInd w:val="0"/>
              <w:jc w:val="center"/>
              <w:rPr>
                <w:rFonts w:cs="Arial"/>
                <w:sz w:val="20"/>
                <w:szCs w:val="20"/>
              </w:rPr>
            </w:pPr>
            <w:r w:rsidRPr="0045713D">
              <w:rPr>
                <w:rFonts w:cs="Arial"/>
                <w:sz w:val="20"/>
                <w:szCs w:val="20"/>
              </w:rPr>
              <w:t>SI</w:t>
            </w:r>
          </w:p>
        </w:tc>
      </w:tr>
      <w:tr w:rsidR="00D51C14" w:rsidRPr="0045713D" w14:paraId="57F30022" w14:textId="77777777" w:rsidTr="00D51C14">
        <w:tc>
          <w:tcPr>
            <w:tcW w:w="1933" w:type="dxa"/>
          </w:tcPr>
          <w:p w14:paraId="1C8B53FC" w14:textId="77777777" w:rsidR="00D51C14" w:rsidRPr="0045713D" w:rsidRDefault="008E4753" w:rsidP="00A07E6E">
            <w:pPr>
              <w:autoSpaceDE w:val="0"/>
              <w:autoSpaceDN w:val="0"/>
              <w:adjustRightInd w:val="0"/>
              <w:jc w:val="both"/>
              <w:rPr>
                <w:rFonts w:cs="Arial"/>
                <w:sz w:val="20"/>
                <w:szCs w:val="20"/>
              </w:rPr>
            </w:pPr>
            <w:r w:rsidRPr="0045713D">
              <w:rPr>
                <w:rFonts w:cs="Arial"/>
                <w:sz w:val="20"/>
                <w:szCs w:val="20"/>
              </w:rPr>
              <w:t>mU07DB070N</w:t>
            </w:r>
          </w:p>
        </w:tc>
        <w:tc>
          <w:tcPr>
            <w:tcW w:w="3449" w:type="dxa"/>
          </w:tcPr>
          <w:p w14:paraId="2821A943" w14:textId="77777777" w:rsidR="00D51C14" w:rsidRPr="0045713D" w:rsidRDefault="008E4753" w:rsidP="00A07E6E">
            <w:pPr>
              <w:autoSpaceDE w:val="0"/>
              <w:autoSpaceDN w:val="0"/>
              <w:adjustRightInd w:val="0"/>
              <w:jc w:val="both"/>
              <w:rPr>
                <w:rFonts w:cs="Arial"/>
                <w:sz w:val="20"/>
                <w:szCs w:val="20"/>
              </w:rPr>
            </w:pPr>
            <w:proofErr w:type="spellStart"/>
            <w:r w:rsidRPr="0045713D">
              <w:rPr>
                <w:rFonts w:cs="Arial"/>
                <w:sz w:val="20"/>
                <w:szCs w:val="20"/>
              </w:rPr>
              <w:t>MBC</w:t>
            </w:r>
            <w:proofErr w:type="spellEnd"/>
            <w:r w:rsidRPr="0045713D">
              <w:rPr>
                <w:rFonts w:cs="Arial"/>
                <w:sz w:val="20"/>
                <w:szCs w:val="20"/>
              </w:rPr>
              <w:t xml:space="preserve"> AC 16/22</w:t>
            </w:r>
          </w:p>
        </w:tc>
        <w:tc>
          <w:tcPr>
            <w:tcW w:w="2126" w:type="dxa"/>
          </w:tcPr>
          <w:p w14:paraId="2E674A74" w14:textId="77777777" w:rsidR="00D51C14" w:rsidRPr="0045713D" w:rsidRDefault="008E4753" w:rsidP="00A07E6E">
            <w:pPr>
              <w:autoSpaceDE w:val="0"/>
              <w:autoSpaceDN w:val="0"/>
              <w:adjustRightInd w:val="0"/>
              <w:jc w:val="center"/>
              <w:rPr>
                <w:rFonts w:cs="Arial"/>
                <w:sz w:val="20"/>
                <w:szCs w:val="20"/>
              </w:rPr>
            </w:pPr>
            <w:r w:rsidRPr="0045713D">
              <w:rPr>
                <w:rFonts w:cs="Arial"/>
                <w:sz w:val="20"/>
                <w:szCs w:val="20"/>
              </w:rPr>
              <w:t>SI</w:t>
            </w:r>
          </w:p>
        </w:tc>
        <w:tc>
          <w:tcPr>
            <w:tcW w:w="1887" w:type="dxa"/>
          </w:tcPr>
          <w:p w14:paraId="4BA0192F" w14:textId="77777777" w:rsidR="00D51C14" w:rsidRPr="0045713D" w:rsidRDefault="008E4753" w:rsidP="00A07E6E">
            <w:pPr>
              <w:autoSpaceDE w:val="0"/>
              <w:autoSpaceDN w:val="0"/>
              <w:adjustRightInd w:val="0"/>
              <w:jc w:val="center"/>
              <w:rPr>
                <w:rFonts w:cs="Arial"/>
                <w:sz w:val="20"/>
                <w:szCs w:val="20"/>
              </w:rPr>
            </w:pPr>
            <w:r w:rsidRPr="0045713D">
              <w:rPr>
                <w:rFonts w:cs="Arial"/>
                <w:sz w:val="20"/>
                <w:szCs w:val="20"/>
              </w:rPr>
              <w:t>SI</w:t>
            </w:r>
          </w:p>
        </w:tc>
      </w:tr>
      <w:tr w:rsidR="00D51C14" w:rsidRPr="0045713D" w14:paraId="7908DBDE" w14:textId="77777777" w:rsidTr="00D51C14">
        <w:tc>
          <w:tcPr>
            <w:tcW w:w="1933" w:type="dxa"/>
          </w:tcPr>
          <w:p w14:paraId="2058ECF3" w14:textId="77777777" w:rsidR="00D51C14" w:rsidRPr="0045713D" w:rsidRDefault="00935ACF" w:rsidP="00A07E6E">
            <w:pPr>
              <w:autoSpaceDE w:val="0"/>
              <w:autoSpaceDN w:val="0"/>
              <w:adjustRightInd w:val="0"/>
              <w:jc w:val="both"/>
              <w:rPr>
                <w:rFonts w:cs="Arial"/>
                <w:sz w:val="20"/>
                <w:szCs w:val="20"/>
              </w:rPr>
            </w:pPr>
            <w:r w:rsidRPr="0045713D">
              <w:rPr>
                <w:rFonts w:cs="Arial"/>
                <w:sz w:val="20"/>
                <w:szCs w:val="20"/>
              </w:rPr>
              <w:t>PN125</w:t>
            </w:r>
          </w:p>
        </w:tc>
        <w:tc>
          <w:tcPr>
            <w:tcW w:w="3449" w:type="dxa"/>
          </w:tcPr>
          <w:p w14:paraId="0E86DC87" w14:textId="77777777" w:rsidR="00D51C14" w:rsidRPr="0045713D" w:rsidRDefault="00935ACF" w:rsidP="00A07E6E">
            <w:pPr>
              <w:autoSpaceDE w:val="0"/>
              <w:autoSpaceDN w:val="0"/>
              <w:adjustRightInd w:val="0"/>
              <w:jc w:val="both"/>
              <w:rPr>
                <w:rFonts w:cs="Arial"/>
                <w:sz w:val="20"/>
                <w:szCs w:val="20"/>
              </w:rPr>
            </w:pPr>
            <w:r w:rsidRPr="0045713D">
              <w:rPr>
                <w:rFonts w:cs="Arial"/>
                <w:sz w:val="20"/>
                <w:szCs w:val="20"/>
              </w:rPr>
              <w:t>COLUMNA CT</w:t>
            </w:r>
            <w:r w:rsidRPr="0045713D">
              <w:rPr>
                <w:rFonts w:ascii="Cambria Math" w:hAnsi="Cambria Math" w:cs="Cambria Math"/>
                <w:sz w:val="20"/>
                <w:szCs w:val="20"/>
              </w:rPr>
              <w:t>‐</w:t>
            </w:r>
            <w:r w:rsidRPr="0045713D">
              <w:rPr>
                <w:rFonts w:cs="Arial"/>
                <w:sz w:val="20"/>
                <w:szCs w:val="20"/>
              </w:rPr>
              <w:t xml:space="preserve">100/168 con 2 </w:t>
            </w:r>
            <w:proofErr w:type="spellStart"/>
            <w:r w:rsidRPr="0045713D">
              <w:rPr>
                <w:rFonts w:cs="Arial"/>
                <w:sz w:val="20"/>
                <w:szCs w:val="20"/>
              </w:rPr>
              <w:t>ACOP</w:t>
            </w:r>
            <w:proofErr w:type="spellEnd"/>
            <w:r w:rsidRPr="0045713D">
              <w:rPr>
                <w:rFonts w:cs="Arial"/>
                <w:sz w:val="20"/>
                <w:szCs w:val="20"/>
              </w:rPr>
              <w:t xml:space="preserve">. a 9700 y 6000 </w:t>
            </w:r>
            <w:proofErr w:type="spellStart"/>
            <w:r w:rsidRPr="0045713D">
              <w:rPr>
                <w:rFonts w:cs="Arial"/>
                <w:sz w:val="20"/>
                <w:szCs w:val="20"/>
              </w:rPr>
              <w:t>GALV</w:t>
            </w:r>
            <w:proofErr w:type="spellEnd"/>
            <w:r w:rsidRPr="0045713D">
              <w:rPr>
                <w:rFonts w:cs="Arial"/>
                <w:sz w:val="20"/>
                <w:szCs w:val="20"/>
              </w:rPr>
              <w:t xml:space="preserve">. </w:t>
            </w:r>
            <w:proofErr w:type="spellStart"/>
            <w:r w:rsidRPr="0045713D">
              <w:rPr>
                <w:rFonts w:cs="Arial"/>
                <w:sz w:val="20"/>
                <w:szCs w:val="20"/>
              </w:rPr>
              <w:t>ESM</w:t>
            </w:r>
            <w:proofErr w:type="spellEnd"/>
            <w:r w:rsidRPr="0045713D">
              <w:rPr>
                <w:rFonts w:cs="Arial"/>
                <w:sz w:val="20"/>
                <w:szCs w:val="20"/>
              </w:rPr>
              <w:t>.</w:t>
            </w:r>
          </w:p>
        </w:tc>
        <w:tc>
          <w:tcPr>
            <w:tcW w:w="2126" w:type="dxa"/>
          </w:tcPr>
          <w:p w14:paraId="66C6EDFF" w14:textId="77777777" w:rsidR="00D51C14" w:rsidRPr="0045713D" w:rsidRDefault="00935ACF" w:rsidP="00A07E6E">
            <w:pPr>
              <w:autoSpaceDE w:val="0"/>
              <w:autoSpaceDN w:val="0"/>
              <w:adjustRightInd w:val="0"/>
              <w:jc w:val="center"/>
              <w:rPr>
                <w:rFonts w:cs="Arial"/>
                <w:sz w:val="20"/>
                <w:szCs w:val="20"/>
              </w:rPr>
            </w:pPr>
            <w:r w:rsidRPr="0045713D">
              <w:rPr>
                <w:rFonts w:cs="Arial"/>
                <w:sz w:val="20"/>
                <w:szCs w:val="20"/>
              </w:rPr>
              <w:t>SI</w:t>
            </w:r>
          </w:p>
        </w:tc>
        <w:tc>
          <w:tcPr>
            <w:tcW w:w="1887" w:type="dxa"/>
          </w:tcPr>
          <w:p w14:paraId="78A5505C" w14:textId="77777777" w:rsidR="00D51C14" w:rsidRPr="0045713D" w:rsidRDefault="00935ACF" w:rsidP="00A07E6E">
            <w:pPr>
              <w:autoSpaceDE w:val="0"/>
              <w:autoSpaceDN w:val="0"/>
              <w:adjustRightInd w:val="0"/>
              <w:jc w:val="center"/>
              <w:rPr>
                <w:rFonts w:cs="Arial"/>
                <w:sz w:val="20"/>
                <w:szCs w:val="20"/>
              </w:rPr>
            </w:pPr>
            <w:r w:rsidRPr="0045713D">
              <w:rPr>
                <w:rFonts w:cs="Arial"/>
                <w:sz w:val="20"/>
                <w:szCs w:val="20"/>
              </w:rPr>
              <w:t>SI</w:t>
            </w:r>
          </w:p>
        </w:tc>
      </w:tr>
      <w:tr w:rsidR="00D51C14" w:rsidRPr="0045713D" w14:paraId="7B07ECE4" w14:textId="77777777" w:rsidTr="00D51C14">
        <w:tc>
          <w:tcPr>
            <w:tcW w:w="1933" w:type="dxa"/>
          </w:tcPr>
          <w:p w14:paraId="63E7DCFD" w14:textId="77777777" w:rsidR="00D51C14" w:rsidRPr="0045713D" w:rsidRDefault="00A40582" w:rsidP="00A07E6E">
            <w:pPr>
              <w:autoSpaceDE w:val="0"/>
              <w:autoSpaceDN w:val="0"/>
              <w:adjustRightInd w:val="0"/>
              <w:jc w:val="both"/>
              <w:rPr>
                <w:rFonts w:cs="Arial"/>
                <w:sz w:val="20"/>
                <w:szCs w:val="20"/>
              </w:rPr>
            </w:pPr>
            <w:r w:rsidRPr="0045713D">
              <w:rPr>
                <w:rFonts w:cs="Arial"/>
                <w:sz w:val="20"/>
                <w:szCs w:val="20"/>
              </w:rPr>
              <w:t>PN123</w:t>
            </w:r>
          </w:p>
        </w:tc>
        <w:tc>
          <w:tcPr>
            <w:tcW w:w="3449" w:type="dxa"/>
          </w:tcPr>
          <w:p w14:paraId="5115D42A" w14:textId="77777777" w:rsidR="00D51C14" w:rsidRPr="0045713D" w:rsidRDefault="00A40582" w:rsidP="00A07E6E">
            <w:pPr>
              <w:autoSpaceDE w:val="0"/>
              <w:autoSpaceDN w:val="0"/>
              <w:adjustRightInd w:val="0"/>
              <w:jc w:val="both"/>
              <w:rPr>
                <w:rFonts w:cs="Arial"/>
                <w:sz w:val="20"/>
                <w:szCs w:val="20"/>
              </w:rPr>
            </w:pPr>
            <w:r w:rsidRPr="0045713D">
              <w:rPr>
                <w:rFonts w:cs="Arial"/>
                <w:sz w:val="20"/>
                <w:szCs w:val="20"/>
              </w:rPr>
              <w:t xml:space="preserve">LUMINARIA </w:t>
            </w:r>
            <w:proofErr w:type="spellStart"/>
            <w:r w:rsidRPr="0045713D">
              <w:rPr>
                <w:rFonts w:cs="Arial"/>
                <w:sz w:val="20"/>
                <w:szCs w:val="20"/>
              </w:rPr>
              <w:t>RETROFIT</w:t>
            </w:r>
            <w:proofErr w:type="spellEnd"/>
            <w:r w:rsidRPr="0045713D">
              <w:rPr>
                <w:rFonts w:cs="Arial"/>
                <w:sz w:val="20"/>
                <w:szCs w:val="20"/>
              </w:rPr>
              <w:t xml:space="preserve"> SRS427 </w:t>
            </w:r>
            <w:proofErr w:type="spellStart"/>
            <w:r w:rsidRPr="0045713D">
              <w:rPr>
                <w:rFonts w:cs="Arial"/>
                <w:sz w:val="20"/>
                <w:szCs w:val="20"/>
              </w:rPr>
              <w:t>MEGAMILEWIDE</w:t>
            </w:r>
            <w:proofErr w:type="spellEnd"/>
          </w:p>
        </w:tc>
        <w:tc>
          <w:tcPr>
            <w:tcW w:w="2126" w:type="dxa"/>
          </w:tcPr>
          <w:p w14:paraId="4D792B92" w14:textId="77777777" w:rsidR="00D51C14" w:rsidRPr="0045713D" w:rsidRDefault="00A40582" w:rsidP="00A07E6E">
            <w:pPr>
              <w:autoSpaceDE w:val="0"/>
              <w:autoSpaceDN w:val="0"/>
              <w:adjustRightInd w:val="0"/>
              <w:jc w:val="center"/>
              <w:rPr>
                <w:rFonts w:cs="Arial"/>
                <w:sz w:val="20"/>
                <w:szCs w:val="20"/>
              </w:rPr>
            </w:pPr>
            <w:r w:rsidRPr="0045713D">
              <w:rPr>
                <w:rFonts w:cs="Arial"/>
                <w:sz w:val="20"/>
                <w:szCs w:val="20"/>
              </w:rPr>
              <w:t>SI</w:t>
            </w:r>
          </w:p>
        </w:tc>
        <w:tc>
          <w:tcPr>
            <w:tcW w:w="1887" w:type="dxa"/>
          </w:tcPr>
          <w:p w14:paraId="3C89517D" w14:textId="77777777" w:rsidR="00D51C14" w:rsidRPr="0045713D" w:rsidRDefault="00A40582" w:rsidP="00A07E6E">
            <w:pPr>
              <w:autoSpaceDE w:val="0"/>
              <w:autoSpaceDN w:val="0"/>
              <w:adjustRightInd w:val="0"/>
              <w:jc w:val="center"/>
              <w:rPr>
                <w:rFonts w:cs="Arial"/>
                <w:sz w:val="20"/>
                <w:szCs w:val="20"/>
              </w:rPr>
            </w:pPr>
            <w:r w:rsidRPr="0045713D">
              <w:rPr>
                <w:rFonts w:cs="Arial"/>
                <w:sz w:val="20"/>
                <w:szCs w:val="20"/>
              </w:rPr>
              <w:t>SI</w:t>
            </w:r>
          </w:p>
        </w:tc>
      </w:tr>
    </w:tbl>
    <w:p w14:paraId="7A17E7C7" w14:textId="77777777" w:rsidR="00CE4DE4" w:rsidRPr="0045713D" w:rsidRDefault="00CE4DE4" w:rsidP="00A07E6E">
      <w:pPr>
        <w:autoSpaceDE w:val="0"/>
        <w:autoSpaceDN w:val="0"/>
        <w:adjustRightInd w:val="0"/>
        <w:jc w:val="both"/>
        <w:rPr>
          <w:rFonts w:ascii="Arial" w:hAnsi="Arial" w:cs="Arial"/>
          <w:sz w:val="22"/>
          <w:szCs w:val="22"/>
        </w:rPr>
      </w:pPr>
    </w:p>
    <w:p w14:paraId="0223AE5D" w14:textId="77777777" w:rsidR="00E934AB" w:rsidRPr="0045713D" w:rsidRDefault="00E934AB" w:rsidP="00A07E6E">
      <w:pPr>
        <w:autoSpaceDE w:val="0"/>
        <w:autoSpaceDN w:val="0"/>
        <w:adjustRightInd w:val="0"/>
        <w:jc w:val="both"/>
        <w:rPr>
          <w:rFonts w:ascii="Arial" w:hAnsi="Arial" w:cs="Arial"/>
          <w:sz w:val="22"/>
          <w:szCs w:val="22"/>
        </w:rPr>
      </w:pPr>
      <w:r w:rsidRPr="0045713D">
        <w:rPr>
          <w:rFonts w:ascii="Arial" w:hAnsi="Arial" w:cs="Arial"/>
          <w:sz w:val="22"/>
          <w:szCs w:val="22"/>
        </w:rPr>
        <w:t>Las unidades de obra indicadas en la anterior tabla figuran simultáneamente como unidades afectadas por precios nuevos y como unidades que no se van a ejecutar lo cual es</w:t>
      </w:r>
      <w:r w:rsidR="00F35CCE" w:rsidRPr="0045713D">
        <w:rPr>
          <w:rFonts w:ascii="Arial" w:hAnsi="Arial" w:cs="Arial"/>
          <w:sz w:val="22"/>
          <w:szCs w:val="22"/>
        </w:rPr>
        <w:t xml:space="preserve"> del todo incompatible.</w:t>
      </w:r>
    </w:p>
    <w:p w14:paraId="2DE4DD02" w14:textId="77777777" w:rsidR="00F35CCE" w:rsidRPr="0045713D" w:rsidRDefault="00F35CCE" w:rsidP="00A07E6E">
      <w:pPr>
        <w:autoSpaceDE w:val="0"/>
        <w:autoSpaceDN w:val="0"/>
        <w:adjustRightInd w:val="0"/>
        <w:jc w:val="both"/>
        <w:rPr>
          <w:rFonts w:ascii="Arial" w:hAnsi="Arial" w:cs="Arial"/>
          <w:sz w:val="22"/>
          <w:szCs w:val="22"/>
        </w:rPr>
      </w:pPr>
    </w:p>
    <w:p w14:paraId="3FFF6A8C" w14:textId="2EBE81DE" w:rsidR="00F35CCE" w:rsidRPr="0045713D" w:rsidRDefault="00F35CCE" w:rsidP="00A07E6E">
      <w:pPr>
        <w:autoSpaceDE w:val="0"/>
        <w:autoSpaceDN w:val="0"/>
        <w:adjustRightInd w:val="0"/>
        <w:jc w:val="both"/>
        <w:rPr>
          <w:rFonts w:ascii="Arial" w:hAnsi="Arial" w:cs="Arial"/>
          <w:sz w:val="22"/>
          <w:szCs w:val="22"/>
        </w:rPr>
      </w:pPr>
      <w:r w:rsidRPr="0045713D">
        <w:rPr>
          <w:rFonts w:ascii="Arial" w:hAnsi="Arial" w:cs="Arial"/>
          <w:sz w:val="22"/>
          <w:szCs w:val="22"/>
        </w:rPr>
        <w:t>Por otra parte, la unidad de obra mU13KC110 (cimentación C-3 en acera existente sin arqueta adosada) figura entre las unidades con exceso de certificación a origen y, asimismo, figura entre las unidades afectadas por</w:t>
      </w:r>
      <w:r w:rsidR="00553126" w:rsidRPr="0045713D">
        <w:rPr>
          <w:rFonts w:ascii="Arial" w:hAnsi="Arial" w:cs="Arial"/>
          <w:sz w:val="22"/>
          <w:szCs w:val="22"/>
        </w:rPr>
        <w:t xml:space="preserve"> los precios nuevos.</w:t>
      </w:r>
    </w:p>
    <w:p w14:paraId="5D88E71B" w14:textId="77777777" w:rsidR="00C70040" w:rsidRPr="0045713D" w:rsidRDefault="00C70040" w:rsidP="00A07E6E">
      <w:pPr>
        <w:autoSpaceDE w:val="0"/>
        <w:autoSpaceDN w:val="0"/>
        <w:adjustRightInd w:val="0"/>
        <w:jc w:val="both"/>
        <w:rPr>
          <w:rFonts w:ascii="Arial" w:hAnsi="Arial" w:cs="Arial"/>
          <w:sz w:val="22"/>
          <w:szCs w:val="22"/>
        </w:rPr>
      </w:pPr>
    </w:p>
    <w:p w14:paraId="00D4738D" w14:textId="35F08CAA" w:rsidR="00C70040" w:rsidRPr="0045713D" w:rsidRDefault="00C70040" w:rsidP="00A07E6E">
      <w:pPr>
        <w:autoSpaceDE w:val="0"/>
        <w:autoSpaceDN w:val="0"/>
        <w:adjustRightInd w:val="0"/>
        <w:jc w:val="both"/>
        <w:rPr>
          <w:rFonts w:ascii="Arial" w:hAnsi="Arial" w:cs="Arial"/>
          <w:sz w:val="22"/>
          <w:szCs w:val="22"/>
        </w:rPr>
      </w:pPr>
      <w:r w:rsidRPr="0045713D">
        <w:rPr>
          <w:rFonts w:ascii="Arial" w:hAnsi="Arial" w:cs="Arial"/>
          <w:sz w:val="22"/>
          <w:szCs w:val="22"/>
        </w:rPr>
        <w:t>En la unidad mU07A020 (fresado del pavimento) se señala que hay 236,50 unidades afectadas por los precios nuevos y 590 unidades que no se van a ejecutar; en la unidad mU07DB070N (</w:t>
      </w:r>
      <w:proofErr w:type="spellStart"/>
      <w:r w:rsidRPr="0045713D">
        <w:rPr>
          <w:rFonts w:ascii="Arial" w:hAnsi="Arial" w:cs="Arial"/>
          <w:sz w:val="22"/>
          <w:szCs w:val="22"/>
        </w:rPr>
        <w:t>MBC</w:t>
      </w:r>
      <w:proofErr w:type="spellEnd"/>
      <w:r w:rsidRPr="0045713D">
        <w:rPr>
          <w:rFonts w:ascii="Arial" w:hAnsi="Arial" w:cs="Arial"/>
          <w:sz w:val="22"/>
          <w:szCs w:val="22"/>
        </w:rPr>
        <w:t xml:space="preserve"> AC 16/22) hay 580 unidades afectadas por los precios nuevos y 655,32 unidades que, se dice, no se van a ejecutar; en la unidad PN125 hay 4 unidades afectadas por los precios nuevos y 1 unidad que presenta exceso de certificación a origen</w:t>
      </w:r>
      <w:r w:rsidR="00A03CC1" w:rsidRPr="0045713D">
        <w:rPr>
          <w:rFonts w:ascii="Arial" w:hAnsi="Arial" w:cs="Arial"/>
          <w:sz w:val="22"/>
          <w:szCs w:val="22"/>
        </w:rPr>
        <w:t>; en la unidad PN123 hay 8 unidades afectadas por los precios nuevos y 2 unidades que presentan exceso de certificación a origen.</w:t>
      </w:r>
    </w:p>
    <w:p w14:paraId="474EB048" w14:textId="42C1F1E6" w:rsidR="00BB20D5" w:rsidRPr="0045713D" w:rsidRDefault="00BB20D5" w:rsidP="00A07E6E">
      <w:pPr>
        <w:autoSpaceDE w:val="0"/>
        <w:autoSpaceDN w:val="0"/>
        <w:adjustRightInd w:val="0"/>
        <w:jc w:val="both"/>
        <w:rPr>
          <w:rFonts w:ascii="Arial" w:hAnsi="Arial" w:cs="Arial"/>
          <w:sz w:val="22"/>
          <w:szCs w:val="22"/>
        </w:rPr>
      </w:pPr>
    </w:p>
    <w:p w14:paraId="30CD8B9B" w14:textId="7C967DBB" w:rsidR="00BB20D5" w:rsidRPr="0045713D" w:rsidRDefault="00BB20D5" w:rsidP="00A07E6E">
      <w:pPr>
        <w:autoSpaceDE w:val="0"/>
        <w:autoSpaceDN w:val="0"/>
        <w:adjustRightInd w:val="0"/>
        <w:jc w:val="both"/>
        <w:rPr>
          <w:rFonts w:ascii="Arial" w:hAnsi="Arial" w:cs="Arial"/>
          <w:i/>
          <w:sz w:val="22"/>
          <w:szCs w:val="22"/>
        </w:rPr>
      </w:pPr>
      <w:r w:rsidRPr="0045713D">
        <w:rPr>
          <w:rFonts w:ascii="Arial" w:hAnsi="Arial" w:cs="Arial"/>
          <w:sz w:val="22"/>
          <w:szCs w:val="22"/>
        </w:rPr>
        <w:lastRenderedPageBreak/>
        <w:t>Frente a ello, se dice en el escrito de planteamiento de la discrepancia que “</w:t>
      </w:r>
      <w:r w:rsidRPr="0045713D">
        <w:rPr>
          <w:rFonts w:ascii="Arial" w:hAnsi="Arial" w:cs="Arial"/>
          <w:i/>
          <w:sz w:val="22"/>
          <w:szCs w:val="22"/>
        </w:rPr>
        <w:t>Los informes 1 y 2, tal y como se especifica en los reparos 1,2,3 y 4, son incorrectos en cuanto a las unidades no ejecutables para compensar los excesos de medición y las unidades no ejecutables que se ven afectadas por los precios nuevos.</w:t>
      </w:r>
    </w:p>
    <w:p w14:paraId="346271D6" w14:textId="77777777" w:rsidR="00844BBA" w:rsidRPr="0045713D" w:rsidRDefault="00844BBA" w:rsidP="00A07E6E">
      <w:pPr>
        <w:autoSpaceDE w:val="0"/>
        <w:autoSpaceDN w:val="0"/>
        <w:adjustRightInd w:val="0"/>
        <w:jc w:val="both"/>
        <w:rPr>
          <w:rFonts w:ascii="Arial" w:hAnsi="Arial" w:cs="Arial"/>
          <w:i/>
          <w:sz w:val="22"/>
          <w:szCs w:val="22"/>
        </w:rPr>
      </w:pPr>
    </w:p>
    <w:p w14:paraId="58717DCB" w14:textId="77777777" w:rsidR="00BB20D5" w:rsidRPr="0045713D" w:rsidRDefault="00BB20D5" w:rsidP="00A07E6E">
      <w:pPr>
        <w:autoSpaceDE w:val="0"/>
        <w:autoSpaceDN w:val="0"/>
        <w:adjustRightInd w:val="0"/>
        <w:jc w:val="both"/>
        <w:rPr>
          <w:rFonts w:ascii="Arial" w:hAnsi="Arial" w:cs="Arial"/>
          <w:i/>
          <w:sz w:val="22"/>
          <w:szCs w:val="22"/>
        </w:rPr>
      </w:pPr>
      <w:r w:rsidRPr="0045713D">
        <w:rPr>
          <w:rFonts w:ascii="Arial" w:hAnsi="Arial" w:cs="Arial"/>
          <w:i/>
          <w:sz w:val="22"/>
          <w:szCs w:val="22"/>
        </w:rPr>
        <w:t>No obstante, la relación de precios nuevos que ha sido aprobada es correcta, y la certificación nº7 y última de julio de 2021 sí es correcta en unidades y cuantías salvo la afectada por el reparo 5.”</w:t>
      </w:r>
    </w:p>
    <w:p w14:paraId="14F3AF56" w14:textId="77777777" w:rsidR="00BB20D5" w:rsidRPr="0045713D" w:rsidRDefault="00BB20D5" w:rsidP="00A07E6E">
      <w:pPr>
        <w:autoSpaceDE w:val="0"/>
        <w:autoSpaceDN w:val="0"/>
        <w:adjustRightInd w:val="0"/>
        <w:jc w:val="both"/>
        <w:rPr>
          <w:rFonts w:ascii="Arial" w:hAnsi="Arial" w:cs="Arial"/>
          <w:i/>
          <w:sz w:val="22"/>
          <w:szCs w:val="22"/>
        </w:rPr>
      </w:pPr>
    </w:p>
    <w:p w14:paraId="639A40DE" w14:textId="2E3F400C" w:rsidR="00BB20D5" w:rsidRPr="0045713D" w:rsidRDefault="00BB20D5" w:rsidP="00A07E6E">
      <w:pPr>
        <w:autoSpaceDE w:val="0"/>
        <w:autoSpaceDN w:val="0"/>
        <w:adjustRightInd w:val="0"/>
        <w:jc w:val="both"/>
        <w:rPr>
          <w:rFonts w:ascii="Arial" w:hAnsi="Arial" w:cs="Arial"/>
          <w:sz w:val="22"/>
          <w:szCs w:val="22"/>
        </w:rPr>
      </w:pPr>
      <w:r w:rsidRPr="0045713D">
        <w:rPr>
          <w:rFonts w:ascii="Arial" w:hAnsi="Arial" w:cs="Arial"/>
          <w:sz w:val="22"/>
          <w:szCs w:val="22"/>
        </w:rPr>
        <w:t xml:space="preserve">Es decir, en vez de </w:t>
      </w:r>
      <w:r w:rsidR="002B563E" w:rsidRPr="0045713D">
        <w:rPr>
          <w:rFonts w:ascii="Arial" w:hAnsi="Arial" w:cs="Arial"/>
          <w:sz w:val="22"/>
          <w:szCs w:val="22"/>
        </w:rPr>
        <w:t xml:space="preserve">emitir y </w:t>
      </w:r>
      <w:r w:rsidRPr="0045713D">
        <w:rPr>
          <w:rFonts w:ascii="Arial" w:hAnsi="Arial" w:cs="Arial"/>
          <w:sz w:val="22"/>
          <w:szCs w:val="22"/>
        </w:rPr>
        <w:t xml:space="preserve">aportar junto con la discrepancia </w:t>
      </w:r>
      <w:r w:rsidR="002B563E" w:rsidRPr="0045713D">
        <w:rPr>
          <w:rFonts w:ascii="Arial" w:hAnsi="Arial" w:cs="Arial"/>
          <w:sz w:val="22"/>
          <w:szCs w:val="22"/>
        </w:rPr>
        <w:t xml:space="preserve">nuevos </w:t>
      </w:r>
      <w:r w:rsidRPr="0045713D">
        <w:rPr>
          <w:rFonts w:ascii="Arial" w:hAnsi="Arial" w:cs="Arial"/>
          <w:sz w:val="22"/>
          <w:szCs w:val="22"/>
        </w:rPr>
        <w:t xml:space="preserve">informes </w:t>
      </w:r>
      <w:r w:rsidR="002B563E" w:rsidRPr="0045713D">
        <w:rPr>
          <w:rFonts w:ascii="Arial" w:hAnsi="Arial" w:cs="Arial"/>
          <w:sz w:val="22"/>
          <w:szCs w:val="22"/>
        </w:rPr>
        <w:t>subsanando los errores</w:t>
      </w:r>
      <w:r w:rsidRPr="0045713D">
        <w:rPr>
          <w:rFonts w:ascii="Arial" w:hAnsi="Arial" w:cs="Arial"/>
          <w:sz w:val="22"/>
          <w:szCs w:val="22"/>
        </w:rPr>
        <w:t xml:space="preserve">, </w:t>
      </w:r>
      <w:r w:rsidR="00E1417A" w:rsidRPr="0045713D">
        <w:rPr>
          <w:rFonts w:ascii="Arial" w:hAnsi="Arial" w:cs="Arial"/>
          <w:sz w:val="22"/>
          <w:szCs w:val="22"/>
        </w:rPr>
        <w:t xml:space="preserve">únicamente se señala </w:t>
      </w:r>
      <w:r w:rsidRPr="0045713D">
        <w:rPr>
          <w:rFonts w:ascii="Arial" w:hAnsi="Arial" w:cs="Arial"/>
          <w:sz w:val="22"/>
          <w:szCs w:val="22"/>
        </w:rPr>
        <w:t>que</w:t>
      </w:r>
      <w:r w:rsidR="00910D28" w:rsidRPr="0045713D">
        <w:rPr>
          <w:rFonts w:ascii="Arial" w:hAnsi="Arial" w:cs="Arial"/>
          <w:sz w:val="22"/>
          <w:szCs w:val="22"/>
        </w:rPr>
        <w:t xml:space="preserve"> los aportados</w:t>
      </w:r>
      <w:r w:rsidRPr="0045713D">
        <w:rPr>
          <w:rFonts w:ascii="Arial" w:hAnsi="Arial" w:cs="Arial"/>
          <w:sz w:val="22"/>
          <w:szCs w:val="22"/>
        </w:rPr>
        <w:t xml:space="preserve"> </w:t>
      </w:r>
      <w:r w:rsidR="002B563E" w:rsidRPr="0045713D">
        <w:rPr>
          <w:rFonts w:ascii="Arial" w:hAnsi="Arial" w:cs="Arial"/>
          <w:sz w:val="22"/>
          <w:szCs w:val="22"/>
        </w:rPr>
        <w:t xml:space="preserve">inicialmente </w:t>
      </w:r>
      <w:r w:rsidRPr="0045713D">
        <w:rPr>
          <w:rFonts w:ascii="Arial" w:hAnsi="Arial" w:cs="Arial"/>
          <w:sz w:val="22"/>
          <w:szCs w:val="22"/>
        </w:rPr>
        <w:t>son incorr</w:t>
      </w:r>
      <w:r w:rsidR="00910D28" w:rsidRPr="0045713D">
        <w:rPr>
          <w:rFonts w:ascii="Arial" w:hAnsi="Arial" w:cs="Arial"/>
          <w:sz w:val="22"/>
          <w:szCs w:val="22"/>
        </w:rPr>
        <w:t xml:space="preserve">ectos, lo que impide realizar cálculos exactos y como apoyo de la pretensión de rectificación del reparo se manifiesta que, no obstante, la relación de precios nuevos aprobada es correcta. </w:t>
      </w:r>
    </w:p>
    <w:p w14:paraId="2FB7818E" w14:textId="77777777" w:rsidR="00AB127D" w:rsidRPr="0045713D" w:rsidRDefault="00AB127D" w:rsidP="00A07E6E">
      <w:pPr>
        <w:autoSpaceDE w:val="0"/>
        <w:autoSpaceDN w:val="0"/>
        <w:adjustRightInd w:val="0"/>
        <w:jc w:val="both"/>
        <w:rPr>
          <w:rFonts w:ascii="Arial" w:hAnsi="Arial" w:cs="Arial"/>
          <w:sz w:val="22"/>
          <w:szCs w:val="22"/>
        </w:rPr>
      </w:pPr>
    </w:p>
    <w:p w14:paraId="2DF1F68F" w14:textId="77777777" w:rsidR="00AB127D" w:rsidRPr="0045713D" w:rsidRDefault="00A66F33" w:rsidP="00A07E6E">
      <w:pPr>
        <w:autoSpaceDE w:val="0"/>
        <w:autoSpaceDN w:val="0"/>
        <w:adjustRightInd w:val="0"/>
        <w:jc w:val="both"/>
        <w:rPr>
          <w:rFonts w:ascii="Arial" w:hAnsi="Arial" w:cs="Arial"/>
          <w:sz w:val="22"/>
          <w:szCs w:val="22"/>
        </w:rPr>
      </w:pPr>
      <w:r w:rsidRPr="0045713D">
        <w:rPr>
          <w:rFonts w:ascii="Arial" w:hAnsi="Arial" w:cs="Arial"/>
          <w:sz w:val="22"/>
          <w:szCs w:val="22"/>
        </w:rPr>
        <w:t xml:space="preserve">Respecto a los excesos o defectos de medición, se adjunta una tabla en la que figuran </w:t>
      </w:r>
      <w:r w:rsidR="00AB127D" w:rsidRPr="0045713D">
        <w:rPr>
          <w:rFonts w:ascii="Arial" w:hAnsi="Arial" w:cs="Arial"/>
          <w:sz w:val="22"/>
          <w:szCs w:val="22"/>
        </w:rPr>
        <w:t>45</w:t>
      </w:r>
      <w:r w:rsidRPr="0045713D">
        <w:rPr>
          <w:rFonts w:ascii="Arial" w:hAnsi="Arial" w:cs="Arial"/>
          <w:sz w:val="22"/>
          <w:szCs w:val="22"/>
        </w:rPr>
        <w:t xml:space="preserve"> partidas afectadas por minoración respecto al proyecto ini</w:t>
      </w:r>
      <w:r w:rsidR="00DA601E" w:rsidRPr="0045713D">
        <w:rPr>
          <w:rFonts w:ascii="Arial" w:hAnsi="Arial" w:cs="Arial"/>
          <w:sz w:val="22"/>
          <w:szCs w:val="22"/>
        </w:rPr>
        <w:t>cial y 46 afectadas por incrementos de medición.</w:t>
      </w:r>
    </w:p>
    <w:p w14:paraId="368C9ADA" w14:textId="77777777" w:rsidR="00DA601E" w:rsidRPr="0045713D" w:rsidRDefault="00DA601E" w:rsidP="00A07E6E">
      <w:pPr>
        <w:autoSpaceDE w:val="0"/>
        <w:autoSpaceDN w:val="0"/>
        <w:adjustRightInd w:val="0"/>
        <w:jc w:val="both"/>
        <w:rPr>
          <w:rFonts w:ascii="Arial" w:hAnsi="Arial" w:cs="Arial"/>
          <w:sz w:val="22"/>
          <w:szCs w:val="22"/>
        </w:rPr>
      </w:pPr>
    </w:p>
    <w:p w14:paraId="4B1D5AF0" w14:textId="278BF205" w:rsidR="00983A0A" w:rsidRPr="0045713D" w:rsidRDefault="00DA601E" w:rsidP="00A07E6E">
      <w:pPr>
        <w:autoSpaceDE w:val="0"/>
        <w:autoSpaceDN w:val="0"/>
        <w:adjustRightInd w:val="0"/>
        <w:jc w:val="both"/>
        <w:rPr>
          <w:rFonts w:ascii="Arial" w:hAnsi="Arial" w:cs="Arial"/>
          <w:sz w:val="22"/>
          <w:szCs w:val="22"/>
        </w:rPr>
      </w:pPr>
      <w:r w:rsidRPr="0045713D">
        <w:rPr>
          <w:rFonts w:ascii="Arial" w:hAnsi="Arial" w:cs="Arial"/>
          <w:sz w:val="22"/>
          <w:szCs w:val="22"/>
        </w:rPr>
        <w:t>En lo que se refiere al 5º motivo de reparo</w:t>
      </w:r>
      <w:r w:rsidR="003052D9" w:rsidRPr="0045713D">
        <w:rPr>
          <w:rFonts w:ascii="Arial" w:hAnsi="Arial" w:cs="Arial"/>
          <w:sz w:val="22"/>
          <w:szCs w:val="22"/>
        </w:rPr>
        <w:t xml:space="preserve"> se dice "</w:t>
      </w:r>
      <w:r w:rsidR="003052D9" w:rsidRPr="0045713D">
        <w:rPr>
          <w:rFonts w:ascii="Arial" w:hAnsi="Arial" w:cs="Arial"/>
          <w:i/>
          <w:sz w:val="22"/>
          <w:szCs w:val="22"/>
        </w:rPr>
        <w:t>En relación al reparo 5, la corrección del error material en la medición a origen de la unidad mU13KC110 en el capítulo 5.2 se realizará en la certificación final, por lo que se volverá a presentar la certificación nº7 y última de julio 2021 del contrato de obras “Proyecto de Urbanización de la calle Montera entre las calles Gran Vía y Jardines y de la calle Caballero de Gracia de Madrid” subsanando dicho error.</w:t>
      </w:r>
      <w:r w:rsidR="003052D9" w:rsidRPr="0045713D">
        <w:rPr>
          <w:rFonts w:ascii="Arial" w:hAnsi="Arial" w:cs="Arial"/>
          <w:sz w:val="22"/>
          <w:szCs w:val="22"/>
        </w:rPr>
        <w:t>”</w:t>
      </w:r>
      <w:r w:rsidR="00E510B2" w:rsidRPr="0045713D">
        <w:rPr>
          <w:rFonts w:ascii="Arial" w:hAnsi="Arial" w:cs="Arial"/>
          <w:sz w:val="22"/>
          <w:szCs w:val="22"/>
        </w:rPr>
        <w:t xml:space="preserve"> </w:t>
      </w:r>
      <w:r w:rsidR="00C32A10" w:rsidRPr="0045713D">
        <w:rPr>
          <w:rFonts w:ascii="Arial" w:hAnsi="Arial" w:cs="Arial"/>
          <w:sz w:val="22"/>
          <w:szCs w:val="22"/>
        </w:rPr>
        <w:t>Debe</w:t>
      </w:r>
      <w:r w:rsidR="00E1417A" w:rsidRPr="0045713D">
        <w:rPr>
          <w:rFonts w:ascii="Arial" w:hAnsi="Arial" w:cs="Arial"/>
          <w:sz w:val="22"/>
          <w:szCs w:val="22"/>
        </w:rPr>
        <w:t xml:space="preserve"> indicar</w:t>
      </w:r>
      <w:r w:rsidR="00C32A10" w:rsidRPr="0045713D">
        <w:rPr>
          <w:rFonts w:ascii="Arial" w:hAnsi="Arial" w:cs="Arial"/>
          <w:sz w:val="22"/>
          <w:szCs w:val="22"/>
        </w:rPr>
        <w:t>se</w:t>
      </w:r>
      <w:r w:rsidR="00E1417A" w:rsidRPr="0045713D">
        <w:rPr>
          <w:rFonts w:ascii="Arial" w:hAnsi="Arial" w:cs="Arial"/>
          <w:sz w:val="22"/>
          <w:szCs w:val="22"/>
        </w:rPr>
        <w:t xml:space="preserve"> que para la correcta tramitación del expediente no basta con una manifestación de voluntad sobre las futuras actuaciones que se pretende</w:t>
      </w:r>
      <w:r w:rsidR="00C32A10" w:rsidRPr="0045713D">
        <w:rPr>
          <w:rFonts w:ascii="Arial" w:hAnsi="Arial" w:cs="Arial"/>
          <w:sz w:val="22"/>
          <w:szCs w:val="22"/>
        </w:rPr>
        <w:t>n</w:t>
      </w:r>
      <w:r w:rsidR="00E1417A" w:rsidRPr="0045713D">
        <w:rPr>
          <w:rFonts w:ascii="Arial" w:hAnsi="Arial" w:cs="Arial"/>
          <w:sz w:val="22"/>
          <w:szCs w:val="22"/>
        </w:rPr>
        <w:t xml:space="preserve"> </w:t>
      </w:r>
      <w:r w:rsidR="00394305" w:rsidRPr="0045713D">
        <w:rPr>
          <w:rFonts w:ascii="Arial" w:hAnsi="Arial" w:cs="Arial"/>
          <w:sz w:val="22"/>
          <w:szCs w:val="22"/>
        </w:rPr>
        <w:t>realizar,</w:t>
      </w:r>
      <w:r w:rsidR="00E1417A" w:rsidRPr="0045713D">
        <w:rPr>
          <w:rFonts w:ascii="Arial" w:hAnsi="Arial" w:cs="Arial"/>
          <w:sz w:val="22"/>
          <w:szCs w:val="22"/>
        </w:rPr>
        <w:t xml:space="preserve"> sino que resulta necesario aportar la documentación que acredita la correcta conformación del expedie</w:t>
      </w:r>
      <w:r w:rsidR="00C32A10" w:rsidRPr="0045713D">
        <w:rPr>
          <w:rFonts w:ascii="Arial" w:hAnsi="Arial" w:cs="Arial"/>
          <w:sz w:val="22"/>
          <w:szCs w:val="22"/>
        </w:rPr>
        <w:t>nt</w:t>
      </w:r>
      <w:r w:rsidR="00E1417A" w:rsidRPr="0045713D">
        <w:rPr>
          <w:rFonts w:ascii="Arial" w:hAnsi="Arial" w:cs="Arial"/>
          <w:sz w:val="22"/>
          <w:szCs w:val="22"/>
        </w:rPr>
        <w:t>e ad</w:t>
      </w:r>
      <w:r w:rsidR="00C32A10" w:rsidRPr="0045713D">
        <w:rPr>
          <w:rFonts w:ascii="Arial" w:hAnsi="Arial" w:cs="Arial"/>
          <w:sz w:val="22"/>
          <w:szCs w:val="22"/>
        </w:rPr>
        <w:t>minis</w:t>
      </w:r>
      <w:r w:rsidR="00E1417A" w:rsidRPr="0045713D">
        <w:rPr>
          <w:rFonts w:ascii="Arial" w:hAnsi="Arial" w:cs="Arial"/>
          <w:sz w:val="22"/>
          <w:szCs w:val="22"/>
        </w:rPr>
        <w:t>trativo</w:t>
      </w:r>
      <w:r w:rsidR="00C32A10" w:rsidRPr="0045713D">
        <w:rPr>
          <w:rFonts w:ascii="Arial" w:hAnsi="Arial" w:cs="Arial"/>
          <w:sz w:val="22"/>
          <w:szCs w:val="22"/>
        </w:rPr>
        <w:t>.</w:t>
      </w:r>
    </w:p>
    <w:p w14:paraId="7E3C261B" w14:textId="77777777" w:rsidR="00683E31" w:rsidRPr="0045713D" w:rsidRDefault="00683E31" w:rsidP="00A07E6E">
      <w:pPr>
        <w:autoSpaceDE w:val="0"/>
        <w:autoSpaceDN w:val="0"/>
        <w:adjustRightInd w:val="0"/>
        <w:jc w:val="both"/>
        <w:rPr>
          <w:rFonts w:ascii="Arial" w:hAnsi="Arial" w:cs="Arial"/>
          <w:sz w:val="22"/>
          <w:szCs w:val="22"/>
        </w:rPr>
      </w:pPr>
    </w:p>
    <w:p w14:paraId="046A8AF2" w14:textId="60FA5282" w:rsidR="00983A0A" w:rsidRPr="0045713D" w:rsidRDefault="00983A0A" w:rsidP="00A07E6E">
      <w:pPr>
        <w:autoSpaceDE w:val="0"/>
        <w:autoSpaceDN w:val="0"/>
        <w:adjustRightInd w:val="0"/>
        <w:jc w:val="both"/>
        <w:rPr>
          <w:rFonts w:ascii="Arial" w:hAnsi="Arial" w:cs="Arial"/>
          <w:sz w:val="22"/>
          <w:szCs w:val="22"/>
        </w:rPr>
      </w:pPr>
      <w:r w:rsidRPr="0045713D">
        <w:rPr>
          <w:rFonts w:ascii="Arial" w:hAnsi="Arial" w:cs="Arial"/>
          <w:sz w:val="22"/>
          <w:szCs w:val="22"/>
        </w:rPr>
        <w:t>Sin perjuicio de lo anterior y a mayor abundamiento de lo dicho, corresponde analizar y determinar la aplicabilidad del artículo 242.4.ii de la LCSP al expediente objeto de estudio. Dich</w:t>
      </w:r>
      <w:r w:rsidR="00593E00" w:rsidRPr="0045713D">
        <w:rPr>
          <w:rFonts w:ascii="Arial" w:hAnsi="Arial" w:cs="Arial"/>
          <w:sz w:val="22"/>
          <w:szCs w:val="22"/>
        </w:rPr>
        <w:t xml:space="preserve">o precepto ha sido transcrito </w:t>
      </w:r>
      <w:r w:rsidR="00593E00" w:rsidRPr="0045713D">
        <w:rPr>
          <w:rFonts w:ascii="Arial" w:hAnsi="Arial" w:cs="Arial"/>
          <w:i/>
          <w:sz w:val="22"/>
          <w:szCs w:val="22"/>
        </w:rPr>
        <w:t xml:space="preserve">ut supra </w:t>
      </w:r>
      <w:r w:rsidR="00593E00" w:rsidRPr="0045713D">
        <w:rPr>
          <w:rFonts w:ascii="Arial" w:hAnsi="Arial" w:cs="Arial"/>
          <w:sz w:val="22"/>
          <w:szCs w:val="22"/>
        </w:rPr>
        <w:t>en este informe por lo que allí nos remitimos.</w:t>
      </w:r>
    </w:p>
    <w:p w14:paraId="06611ABE" w14:textId="77777777" w:rsidR="00B14C7C" w:rsidRPr="0045713D" w:rsidRDefault="00B14C7C" w:rsidP="00A07E6E">
      <w:pPr>
        <w:autoSpaceDE w:val="0"/>
        <w:autoSpaceDN w:val="0"/>
        <w:adjustRightInd w:val="0"/>
        <w:jc w:val="both"/>
        <w:rPr>
          <w:rFonts w:ascii="Arial" w:hAnsi="Arial" w:cs="Arial"/>
          <w:sz w:val="22"/>
          <w:szCs w:val="22"/>
        </w:rPr>
      </w:pPr>
    </w:p>
    <w:p w14:paraId="564BA0AC" w14:textId="77777777" w:rsidR="00B14C7C" w:rsidRPr="0045713D" w:rsidRDefault="00B14C7C" w:rsidP="00A07E6E">
      <w:pPr>
        <w:autoSpaceDE w:val="0"/>
        <w:autoSpaceDN w:val="0"/>
        <w:adjustRightInd w:val="0"/>
        <w:jc w:val="both"/>
        <w:rPr>
          <w:rFonts w:ascii="Arial" w:hAnsi="Arial" w:cs="Arial"/>
          <w:sz w:val="22"/>
          <w:szCs w:val="22"/>
        </w:rPr>
      </w:pPr>
      <w:r w:rsidRPr="0045713D">
        <w:rPr>
          <w:rFonts w:ascii="Arial" w:hAnsi="Arial" w:cs="Arial"/>
          <w:sz w:val="22"/>
          <w:szCs w:val="22"/>
        </w:rPr>
        <w:t>El artículo 242.4 ii) de la LCSP descarta que pueda considerarse una modificación del contrato la inclusión de precios nuevos cuando se cumplan dos condiciones:</w:t>
      </w:r>
    </w:p>
    <w:p w14:paraId="2E5FC26C" w14:textId="77777777" w:rsidR="00B14C7C" w:rsidRPr="0045713D" w:rsidRDefault="00B14C7C" w:rsidP="00A07E6E">
      <w:pPr>
        <w:autoSpaceDE w:val="0"/>
        <w:autoSpaceDN w:val="0"/>
        <w:adjustRightInd w:val="0"/>
        <w:jc w:val="both"/>
        <w:rPr>
          <w:rFonts w:ascii="Arial" w:hAnsi="Arial" w:cs="Arial"/>
          <w:sz w:val="22"/>
          <w:szCs w:val="22"/>
        </w:rPr>
      </w:pPr>
    </w:p>
    <w:p w14:paraId="2AB27E34" w14:textId="500B3E36" w:rsidR="00B14C7C" w:rsidRPr="0045713D" w:rsidRDefault="00B14C7C" w:rsidP="00A07E6E">
      <w:pPr>
        <w:pStyle w:val="Prrafodelista"/>
        <w:numPr>
          <w:ilvl w:val="0"/>
          <w:numId w:val="28"/>
        </w:numPr>
        <w:autoSpaceDE w:val="0"/>
        <w:autoSpaceDN w:val="0"/>
        <w:adjustRightInd w:val="0"/>
        <w:spacing w:after="0" w:line="240" w:lineRule="auto"/>
        <w:jc w:val="both"/>
        <w:rPr>
          <w:rFonts w:cs="Arial"/>
        </w:rPr>
      </w:pPr>
      <w:r w:rsidRPr="0045713D">
        <w:rPr>
          <w:rFonts w:cs="Arial"/>
        </w:rPr>
        <w:t>que no supongan incremento del precio global del contrato y</w:t>
      </w:r>
    </w:p>
    <w:p w14:paraId="1CA069FC" w14:textId="3B4C2F3A" w:rsidR="00B14C7C" w:rsidRPr="0045713D" w:rsidRDefault="00B14C7C" w:rsidP="00A07E6E">
      <w:pPr>
        <w:pStyle w:val="Prrafodelista"/>
        <w:numPr>
          <w:ilvl w:val="0"/>
          <w:numId w:val="28"/>
        </w:numPr>
        <w:autoSpaceDE w:val="0"/>
        <w:autoSpaceDN w:val="0"/>
        <w:adjustRightInd w:val="0"/>
        <w:spacing w:after="0" w:line="240" w:lineRule="auto"/>
        <w:jc w:val="both"/>
        <w:rPr>
          <w:rFonts w:cs="Arial"/>
        </w:rPr>
      </w:pPr>
      <w:r w:rsidRPr="0045713D">
        <w:rPr>
          <w:rFonts w:cs="Arial"/>
        </w:rPr>
        <w:t>que no afecten a unidades de obra que en su conjunto excedan del 3 por ciento del presupuesto primitivo del mismo.</w:t>
      </w:r>
    </w:p>
    <w:p w14:paraId="74BC9058" w14:textId="77777777" w:rsidR="00A07E6E" w:rsidRPr="0045713D" w:rsidRDefault="00A07E6E" w:rsidP="00A07E6E">
      <w:pPr>
        <w:pStyle w:val="Prrafodelista"/>
        <w:autoSpaceDE w:val="0"/>
        <w:autoSpaceDN w:val="0"/>
        <w:adjustRightInd w:val="0"/>
        <w:spacing w:after="0" w:line="240" w:lineRule="auto"/>
        <w:ind w:left="720"/>
        <w:jc w:val="both"/>
        <w:rPr>
          <w:rFonts w:cs="Arial"/>
        </w:rPr>
      </w:pPr>
    </w:p>
    <w:p w14:paraId="510E9AE6" w14:textId="65D9168B" w:rsidR="00B14C7C" w:rsidRPr="0045713D" w:rsidRDefault="00B14C7C" w:rsidP="00A07E6E">
      <w:pPr>
        <w:autoSpaceDE w:val="0"/>
        <w:autoSpaceDN w:val="0"/>
        <w:adjustRightInd w:val="0"/>
        <w:jc w:val="both"/>
        <w:rPr>
          <w:rFonts w:ascii="Arial" w:hAnsi="Arial" w:cs="Arial"/>
          <w:sz w:val="22"/>
          <w:szCs w:val="22"/>
        </w:rPr>
      </w:pPr>
      <w:r w:rsidRPr="0045713D">
        <w:rPr>
          <w:rFonts w:ascii="Arial" w:hAnsi="Arial" w:cs="Arial"/>
          <w:sz w:val="22"/>
          <w:szCs w:val="22"/>
        </w:rPr>
        <w:t xml:space="preserve">No obstante, examinadas las actas de precios nuevos remitidas junto con el escrito de discrepancia </w:t>
      </w:r>
      <w:r w:rsidR="00247620" w:rsidRPr="0045713D">
        <w:rPr>
          <w:rFonts w:ascii="Arial" w:hAnsi="Arial" w:cs="Arial"/>
          <w:sz w:val="22"/>
          <w:szCs w:val="22"/>
        </w:rPr>
        <w:t>se</w:t>
      </w:r>
      <w:r w:rsidR="00275F29" w:rsidRPr="0045713D">
        <w:rPr>
          <w:rFonts w:ascii="Arial" w:hAnsi="Arial" w:cs="Arial"/>
          <w:sz w:val="22"/>
          <w:szCs w:val="22"/>
        </w:rPr>
        <w:t xml:space="preserve"> co</w:t>
      </w:r>
      <w:r w:rsidR="00247620" w:rsidRPr="0045713D">
        <w:rPr>
          <w:rFonts w:ascii="Arial" w:hAnsi="Arial" w:cs="Arial"/>
          <w:sz w:val="22"/>
          <w:szCs w:val="22"/>
        </w:rPr>
        <w:t>mprueba que existe</w:t>
      </w:r>
      <w:r w:rsidR="00275F29" w:rsidRPr="0045713D">
        <w:rPr>
          <w:rFonts w:ascii="Arial" w:hAnsi="Arial" w:cs="Arial"/>
          <w:sz w:val="22"/>
          <w:szCs w:val="22"/>
        </w:rPr>
        <w:t xml:space="preserve"> una descripción concreta de cada nueva partida (usando palabras de las propias actas) que se incorpora; asimismo, en cada caso, hay un desglose detallado del precio lo cual es propio y sugerente de que nos encontramos ante</w:t>
      </w:r>
      <w:r w:rsidR="00B67B49" w:rsidRPr="0045713D">
        <w:rPr>
          <w:rFonts w:ascii="Arial" w:hAnsi="Arial" w:cs="Arial"/>
          <w:sz w:val="22"/>
          <w:szCs w:val="22"/>
        </w:rPr>
        <w:t xml:space="preserve"> una nueva unidad de obra.</w:t>
      </w:r>
    </w:p>
    <w:p w14:paraId="385945CB" w14:textId="77777777" w:rsidR="00312F75" w:rsidRPr="0045713D" w:rsidRDefault="00312F75" w:rsidP="00A07E6E">
      <w:pPr>
        <w:autoSpaceDE w:val="0"/>
        <w:autoSpaceDN w:val="0"/>
        <w:adjustRightInd w:val="0"/>
        <w:jc w:val="both"/>
        <w:rPr>
          <w:rFonts w:ascii="Arial" w:hAnsi="Arial" w:cs="Arial"/>
          <w:sz w:val="22"/>
          <w:szCs w:val="22"/>
        </w:rPr>
      </w:pPr>
    </w:p>
    <w:p w14:paraId="5930A19B" w14:textId="1564210C" w:rsidR="00A03CC1" w:rsidRPr="0045713D" w:rsidRDefault="00312F75" w:rsidP="00A07E6E">
      <w:pPr>
        <w:autoSpaceDE w:val="0"/>
        <w:autoSpaceDN w:val="0"/>
        <w:adjustRightInd w:val="0"/>
        <w:jc w:val="both"/>
        <w:rPr>
          <w:rFonts w:ascii="Arial" w:hAnsi="Arial" w:cs="Arial"/>
          <w:sz w:val="22"/>
          <w:szCs w:val="22"/>
        </w:rPr>
      </w:pPr>
      <w:r w:rsidRPr="0045713D">
        <w:rPr>
          <w:rFonts w:ascii="Arial" w:hAnsi="Arial" w:cs="Arial"/>
          <w:sz w:val="22"/>
          <w:szCs w:val="22"/>
        </w:rPr>
        <w:t>Por ello, este Centro Fiscal ha revisado el proyecto de urbanización de la calle Montera entre las calles Gran Vía y Jardines y de la calle Caballero de Gracia de Madrid y ha constatado</w:t>
      </w:r>
      <w:r w:rsidR="0064223A" w:rsidRPr="0045713D">
        <w:rPr>
          <w:rFonts w:ascii="Arial" w:hAnsi="Arial" w:cs="Arial"/>
          <w:sz w:val="22"/>
          <w:szCs w:val="22"/>
        </w:rPr>
        <w:t xml:space="preserve"> que todos los precios nuevos corresponden a unidades de obra nuevas</w:t>
      </w:r>
      <w:r w:rsidR="00844BBA" w:rsidRPr="0045713D">
        <w:rPr>
          <w:rFonts w:ascii="Arial" w:hAnsi="Arial" w:cs="Arial"/>
          <w:sz w:val="22"/>
          <w:szCs w:val="22"/>
        </w:rPr>
        <w:t xml:space="preserve"> que, por tanto, no figuran en el proyecto inicial.</w:t>
      </w:r>
      <w:r w:rsidR="00412A3D" w:rsidRPr="0045713D">
        <w:rPr>
          <w:rFonts w:ascii="Arial" w:hAnsi="Arial" w:cs="Arial"/>
          <w:sz w:val="22"/>
          <w:szCs w:val="22"/>
        </w:rPr>
        <w:t xml:space="preserve"> Así, puede citarse como ejemplo, el acta del PC-01 –todas las actas presentan el mismo</w:t>
      </w:r>
      <w:r w:rsidR="00216D56" w:rsidRPr="0045713D">
        <w:rPr>
          <w:rFonts w:ascii="Arial" w:hAnsi="Arial" w:cs="Arial"/>
          <w:sz w:val="22"/>
          <w:szCs w:val="22"/>
        </w:rPr>
        <w:t xml:space="preserve"> esquema- que establece:</w:t>
      </w:r>
    </w:p>
    <w:p w14:paraId="3D54976F" w14:textId="77777777" w:rsidR="00E510B2" w:rsidRPr="0045713D" w:rsidRDefault="00E510B2" w:rsidP="00A07E6E">
      <w:pPr>
        <w:autoSpaceDE w:val="0"/>
        <w:autoSpaceDN w:val="0"/>
        <w:adjustRightInd w:val="0"/>
        <w:jc w:val="both"/>
        <w:rPr>
          <w:rFonts w:ascii="Arial" w:eastAsia="Arial" w:hAnsi="Arial" w:cs="Arial"/>
          <w:sz w:val="22"/>
          <w:szCs w:val="22"/>
          <w:lang w:val="es-ES"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1879"/>
        <w:gridCol w:w="1879"/>
        <w:gridCol w:w="1879"/>
        <w:gridCol w:w="1879"/>
      </w:tblGrid>
      <w:tr w:rsidR="00216D56" w:rsidRPr="0045713D" w14:paraId="0850DFF3" w14:textId="77777777" w:rsidTr="00A07E6E">
        <w:trPr>
          <w:trHeight w:val="519"/>
        </w:trPr>
        <w:tc>
          <w:tcPr>
            <w:tcW w:w="1879" w:type="dxa"/>
          </w:tcPr>
          <w:p w14:paraId="39B49558" w14:textId="77777777" w:rsidR="00216D56" w:rsidRPr="0045713D" w:rsidRDefault="00216D56" w:rsidP="00A07E6E">
            <w:pPr>
              <w:pStyle w:val="Textonotapie"/>
              <w:spacing w:after="0" w:line="240" w:lineRule="auto"/>
              <w:rPr>
                <w:rFonts w:cs="Arial"/>
                <w:i/>
                <w:sz w:val="22"/>
                <w:szCs w:val="22"/>
              </w:rPr>
            </w:pPr>
            <w:r w:rsidRPr="0045713D">
              <w:rPr>
                <w:rFonts w:cs="Arial"/>
                <w:i/>
                <w:sz w:val="22"/>
                <w:szCs w:val="22"/>
              </w:rPr>
              <w:lastRenderedPageBreak/>
              <w:t>Denominación</w:t>
            </w:r>
          </w:p>
        </w:tc>
        <w:tc>
          <w:tcPr>
            <w:tcW w:w="1879" w:type="dxa"/>
          </w:tcPr>
          <w:p w14:paraId="5FD2293C" w14:textId="77777777" w:rsidR="00216D56" w:rsidRPr="0045713D" w:rsidRDefault="00216D56" w:rsidP="00A07E6E">
            <w:pPr>
              <w:pStyle w:val="Textonotapie"/>
              <w:spacing w:after="0" w:line="240" w:lineRule="auto"/>
              <w:rPr>
                <w:rFonts w:cs="Arial"/>
                <w:i/>
                <w:sz w:val="22"/>
                <w:szCs w:val="22"/>
              </w:rPr>
            </w:pPr>
          </w:p>
        </w:tc>
        <w:tc>
          <w:tcPr>
            <w:tcW w:w="1879" w:type="dxa"/>
          </w:tcPr>
          <w:p w14:paraId="1C84BB97" w14:textId="77777777" w:rsidR="00216D56" w:rsidRPr="0045713D" w:rsidRDefault="00216D56" w:rsidP="00A07E6E">
            <w:pPr>
              <w:pStyle w:val="Textonotapie"/>
              <w:spacing w:after="0" w:line="240" w:lineRule="auto"/>
              <w:rPr>
                <w:rFonts w:cs="Arial"/>
                <w:i/>
                <w:sz w:val="22"/>
                <w:szCs w:val="22"/>
              </w:rPr>
            </w:pPr>
          </w:p>
        </w:tc>
        <w:tc>
          <w:tcPr>
            <w:tcW w:w="1879" w:type="dxa"/>
          </w:tcPr>
          <w:p w14:paraId="2B1D4CB3" w14:textId="77777777" w:rsidR="00216D56" w:rsidRPr="0045713D" w:rsidRDefault="00216D56" w:rsidP="00A07E6E">
            <w:pPr>
              <w:pStyle w:val="Textonotapie"/>
              <w:spacing w:after="0" w:line="240" w:lineRule="auto"/>
              <w:rPr>
                <w:rFonts w:cs="Arial"/>
                <w:i/>
                <w:sz w:val="22"/>
                <w:szCs w:val="22"/>
              </w:rPr>
            </w:pPr>
          </w:p>
        </w:tc>
        <w:tc>
          <w:tcPr>
            <w:tcW w:w="1879" w:type="dxa"/>
          </w:tcPr>
          <w:p w14:paraId="1E143563" w14:textId="77777777" w:rsidR="00216D56" w:rsidRPr="0045713D" w:rsidRDefault="00216D56" w:rsidP="00A07E6E">
            <w:pPr>
              <w:pStyle w:val="Textonotapie"/>
              <w:spacing w:after="0" w:line="240" w:lineRule="auto"/>
              <w:jc w:val="right"/>
              <w:rPr>
                <w:rFonts w:cs="Arial"/>
                <w:i/>
                <w:sz w:val="22"/>
                <w:szCs w:val="22"/>
              </w:rPr>
            </w:pPr>
            <w:r w:rsidRPr="0045713D">
              <w:rPr>
                <w:rFonts w:cs="Arial"/>
                <w:i/>
                <w:sz w:val="22"/>
                <w:szCs w:val="22"/>
              </w:rPr>
              <w:t>Precio unitario</w:t>
            </w:r>
          </w:p>
        </w:tc>
      </w:tr>
      <w:tr w:rsidR="00216D56" w:rsidRPr="0045713D" w14:paraId="78AE7EDA" w14:textId="77777777" w:rsidTr="00A07E6E">
        <w:trPr>
          <w:trHeight w:val="1278"/>
        </w:trPr>
        <w:tc>
          <w:tcPr>
            <w:tcW w:w="1879" w:type="dxa"/>
          </w:tcPr>
          <w:p w14:paraId="21AC1D9C" w14:textId="77777777" w:rsidR="00216D56" w:rsidRPr="0045713D" w:rsidRDefault="00216D56" w:rsidP="00A07E6E">
            <w:pPr>
              <w:pStyle w:val="Textonotapie"/>
              <w:spacing w:after="0" w:line="240" w:lineRule="auto"/>
              <w:rPr>
                <w:rFonts w:cs="Arial"/>
                <w:b/>
              </w:rPr>
            </w:pPr>
            <w:r w:rsidRPr="0045713D">
              <w:rPr>
                <w:rFonts w:cs="Arial"/>
                <w:b/>
              </w:rPr>
              <w:t>PC-01</w:t>
            </w:r>
          </w:p>
        </w:tc>
        <w:tc>
          <w:tcPr>
            <w:tcW w:w="1879" w:type="dxa"/>
          </w:tcPr>
          <w:p w14:paraId="62F8A337" w14:textId="77777777" w:rsidR="00216D56" w:rsidRPr="0045713D" w:rsidRDefault="00216D56" w:rsidP="00A07E6E">
            <w:pPr>
              <w:pStyle w:val="Textonotapie"/>
              <w:spacing w:after="0" w:line="240" w:lineRule="auto"/>
              <w:rPr>
                <w:rFonts w:cs="Arial"/>
                <w:b/>
              </w:rPr>
            </w:pPr>
            <w:r w:rsidRPr="0045713D">
              <w:rPr>
                <w:rFonts w:cs="Arial"/>
                <w:b/>
              </w:rPr>
              <w:t>UD</w:t>
            </w:r>
          </w:p>
        </w:tc>
        <w:tc>
          <w:tcPr>
            <w:tcW w:w="5637" w:type="dxa"/>
            <w:gridSpan w:val="3"/>
          </w:tcPr>
          <w:p w14:paraId="779A6200" w14:textId="77777777" w:rsidR="00216D56" w:rsidRPr="0045713D" w:rsidRDefault="00216D56" w:rsidP="00A07E6E">
            <w:pPr>
              <w:pStyle w:val="Textonotapie"/>
              <w:spacing w:after="0" w:line="240" w:lineRule="auto"/>
              <w:jc w:val="both"/>
              <w:rPr>
                <w:rFonts w:cs="Arial"/>
              </w:rPr>
            </w:pPr>
            <w:r w:rsidRPr="0045713D">
              <w:rPr>
                <w:rFonts w:cs="Arial"/>
              </w:rPr>
              <w:t xml:space="preserve">CANDELABRO BAILEN II CON CRUCERO PARA 2 P. LUZ Y REMATE CENTRAL Candelabro modelo Fernando VII tipo "BAILEN II" de 4.52 m de altura, con crucero para 2 puntos de luz, sin faroles, y remate central, según </w:t>
            </w:r>
            <w:proofErr w:type="spellStart"/>
            <w:r w:rsidRPr="0045713D">
              <w:rPr>
                <w:rFonts w:cs="Arial"/>
              </w:rPr>
              <w:t>P.C.T.G</w:t>
            </w:r>
            <w:proofErr w:type="spellEnd"/>
            <w:r w:rsidRPr="0045713D">
              <w:rPr>
                <w:rFonts w:cs="Arial"/>
              </w:rPr>
              <w:t>., instalado, y excluida cimentación.</w:t>
            </w:r>
          </w:p>
        </w:tc>
      </w:tr>
      <w:tr w:rsidR="00216D56" w:rsidRPr="0045713D" w14:paraId="7A05BC20" w14:textId="77777777" w:rsidTr="00973008">
        <w:trPr>
          <w:trHeight w:val="541"/>
        </w:trPr>
        <w:tc>
          <w:tcPr>
            <w:tcW w:w="1879" w:type="dxa"/>
          </w:tcPr>
          <w:p w14:paraId="59455DEA" w14:textId="77777777" w:rsidR="00216D56" w:rsidRPr="0045713D" w:rsidRDefault="00216D56" w:rsidP="00A07E6E">
            <w:pPr>
              <w:pStyle w:val="Textonotapie"/>
              <w:spacing w:after="0" w:line="240" w:lineRule="auto"/>
              <w:rPr>
                <w:rFonts w:cs="Arial"/>
              </w:rPr>
            </w:pPr>
            <w:r w:rsidRPr="0045713D">
              <w:rPr>
                <w:rFonts w:cs="Arial"/>
              </w:rPr>
              <w:t>mO01OB240</w:t>
            </w:r>
          </w:p>
        </w:tc>
        <w:tc>
          <w:tcPr>
            <w:tcW w:w="1879" w:type="dxa"/>
          </w:tcPr>
          <w:p w14:paraId="5530C96D" w14:textId="77777777" w:rsidR="00216D56" w:rsidRPr="0045713D" w:rsidRDefault="00216D56" w:rsidP="00A07E6E">
            <w:pPr>
              <w:pStyle w:val="Textonotapie"/>
              <w:spacing w:after="0" w:line="240" w:lineRule="auto"/>
              <w:rPr>
                <w:rFonts w:cs="Arial"/>
              </w:rPr>
            </w:pPr>
            <w:r w:rsidRPr="0045713D">
              <w:rPr>
                <w:rFonts w:cs="Arial"/>
              </w:rPr>
              <w:t>0,4 h</w:t>
            </w:r>
          </w:p>
        </w:tc>
        <w:tc>
          <w:tcPr>
            <w:tcW w:w="1879" w:type="dxa"/>
          </w:tcPr>
          <w:p w14:paraId="4BAC3842" w14:textId="77777777" w:rsidR="00216D56" w:rsidRPr="0045713D" w:rsidRDefault="00216D56" w:rsidP="00A07E6E">
            <w:pPr>
              <w:pStyle w:val="Textonotapie"/>
              <w:spacing w:after="0" w:line="240" w:lineRule="auto"/>
              <w:rPr>
                <w:rFonts w:cs="Arial"/>
              </w:rPr>
            </w:pPr>
            <w:r w:rsidRPr="0045713D">
              <w:rPr>
                <w:rFonts w:cs="Arial"/>
              </w:rPr>
              <w:t>Oficial 1ª electricista</w:t>
            </w:r>
          </w:p>
        </w:tc>
        <w:tc>
          <w:tcPr>
            <w:tcW w:w="1879" w:type="dxa"/>
          </w:tcPr>
          <w:p w14:paraId="28F717C4" w14:textId="77777777" w:rsidR="00216D56" w:rsidRPr="0045713D" w:rsidRDefault="00216D56" w:rsidP="00A07E6E">
            <w:pPr>
              <w:pStyle w:val="Textonotapie"/>
              <w:spacing w:after="0" w:line="240" w:lineRule="auto"/>
              <w:jc w:val="right"/>
              <w:rPr>
                <w:rFonts w:cs="Arial"/>
              </w:rPr>
            </w:pPr>
            <w:r w:rsidRPr="0045713D">
              <w:rPr>
                <w:rFonts w:cs="Arial"/>
              </w:rPr>
              <w:t>19,71</w:t>
            </w:r>
          </w:p>
        </w:tc>
        <w:tc>
          <w:tcPr>
            <w:tcW w:w="1879" w:type="dxa"/>
          </w:tcPr>
          <w:p w14:paraId="2A57813D" w14:textId="77777777" w:rsidR="00216D56" w:rsidRPr="0045713D" w:rsidRDefault="00216D56" w:rsidP="00A07E6E">
            <w:pPr>
              <w:pStyle w:val="Textonotapie"/>
              <w:spacing w:after="0" w:line="240" w:lineRule="auto"/>
              <w:jc w:val="right"/>
              <w:rPr>
                <w:rFonts w:cs="Arial"/>
              </w:rPr>
            </w:pPr>
            <w:r w:rsidRPr="0045713D">
              <w:rPr>
                <w:rFonts w:cs="Arial"/>
              </w:rPr>
              <w:t>7,88</w:t>
            </w:r>
          </w:p>
        </w:tc>
      </w:tr>
      <w:tr w:rsidR="00216D56" w:rsidRPr="0045713D" w14:paraId="1734BA39" w14:textId="77777777" w:rsidTr="00973008">
        <w:trPr>
          <w:trHeight w:val="209"/>
        </w:trPr>
        <w:tc>
          <w:tcPr>
            <w:tcW w:w="1879" w:type="dxa"/>
          </w:tcPr>
          <w:p w14:paraId="490F15F4" w14:textId="77777777" w:rsidR="00216D56" w:rsidRPr="0045713D" w:rsidRDefault="00216D56" w:rsidP="00A07E6E">
            <w:pPr>
              <w:pStyle w:val="Textonotapie"/>
              <w:spacing w:after="0" w:line="240" w:lineRule="auto"/>
              <w:rPr>
                <w:rFonts w:cs="Arial"/>
              </w:rPr>
            </w:pPr>
            <w:r w:rsidRPr="0045713D">
              <w:rPr>
                <w:rFonts w:cs="Arial"/>
              </w:rPr>
              <w:t>mO01OB250</w:t>
            </w:r>
          </w:p>
        </w:tc>
        <w:tc>
          <w:tcPr>
            <w:tcW w:w="1879" w:type="dxa"/>
          </w:tcPr>
          <w:p w14:paraId="62CA1512" w14:textId="77777777" w:rsidR="00216D56" w:rsidRPr="0045713D" w:rsidRDefault="00216D56" w:rsidP="00A07E6E">
            <w:pPr>
              <w:pStyle w:val="Textonotapie"/>
              <w:spacing w:after="0" w:line="240" w:lineRule="auto"/>
              <w:rPr>
                <w:rFonts w:cs="Arial"/>
              </w:rPr>
            </w:pPr>
            <w:r w:rsidRPr="0045713D">
              <w:rPr>
                <w:rFonts w:cs="Arial"/>
              </w:rPr>
              <w:t>0,4 h</w:t>
            </w:r>
          </w:p>
        </w:tc>
        <w:tc>
          <w:tcPr>
            <w:tcW w:w="1879" w:type="dxa"/>
          </w:tcPr>
          <w:p w14:paraId="7D972ECC" w14:textId="77777777" w:rsidR="00216D56" w:rsidRPr="0045713D" w:rsidRDefault="00216D56" w:rsidP="00A07E6E">
            <w:pPr>
              <w:pStyle w:val="Textonotapie"/>
              <w:spacing w:after="0" w:line="240" w:lineRule="auto"/>
              <w:rPr>
                <w:rFonts w:cs="Arial"/>
              </w:rPr>
            </w:pPr>
            <w:r w:rsidRPr="0045713D">
              <w:rPr>
                <w:rFonts w:cs="Arial"/>
              </w:rPr>
              <w:t>Oficial 2ª electricista</w:t>
            </w:r>
          </w:p>
        </w:tc>
        <w:tc>
          <w:tcPr>
            <w:tcW w:w="1879" w:type="dxa"/>
          </w:tcPr>
          <w:p w14:paraId="2BEB5174" w14:textId="77777777" w:rsidR="00216D56" w:rsidRPr="0045713D" w:rsidRDefault="00216D56" w:rsidP="00A07E6E">
            <w:pPr>
              <w:pStyle w:val="Textonotapie"/>
              <w:spacing w:after="0" w:line="240" w:lineRule="auto"/>
              <w:jc w:val="right"/>
              <w:rPr>
                <w:rFonts w:cs="Arial"/>
              </w:rPr>
            </w:pPr>
            <w:r w:rsidRPr="0045713D">
              <w:rPr>
                <w:rFonts w:cs="Arial"/>
              </w:rPr>
              <w:t>18,45</w:t>
            </w:r>
          </w:p>
        </w:tc>
        <w:tc>
          <w:tcPr>
            <w:tcW w:w="1879" w:type="dxa"/>
          </w:tcPr>
          <w:p w14:paraId="7DA0A707" w14:textId="77777777" w:rsidR="00216D56" w:rsidRPr="0045713D" w:rsidRDefault="00216D56" w:rsidP="00A07E6E">
            <w:pPr>
              <w:pStyle w:val="Textonotapie"/>
              <w:spacing w:after="0" w:line="240" w:lineRule="auto"/>
              <w:jc w:val="right"/>
              <w:rPr>
                <w:rFonts w:cs="Arial"/>
              </w:rPr>
            </w:pPr>
            <w:r w:rsidRPr="0045713D">
              <w:rPr>
                <w:rFonts w:cs="Arial"/>
              </w:rPr>
              <w:t>7,38</w:t>
            </w:r>
          </w:p>
        </w:tc>
      </w:tr>
      <w:tr w:rsidR="00216D56" w:rsidRPr="0045713D" w14:paraId="4D2BEEFF" w14:textId="77777777" w:rsidTr="00973008">
        <w:trPr>
          <w:trHeight w:val="499"/>
        </w:trPr>
        <w:tc>
          <w:tcPr>
            <w:tcW w:w="1879" w:type="dxa"/>
          </w:tcPr>
          <w:p w14:paraId="5CD8C7CA" w14:textId="77777777" w:rsidR="00216D56" w:rsidRPr="0045713D" w:rsidRDefault="00216D56" w:rsidP="00A07E6E">
            <w:pPr>
              <w:pStyle w:val="Textonotapie"/>
              <w:spacing w:after="0" w:line="240" w:lineRule="auto"/>
              <w:rPr>
                <w:rFonts w:cs="Arial"/>
              </w:rPr>
            </w:pPr>
            <w:r w:rsidRPr="0045713D">
              <w:rPr>
                <w:rFonts w:cs="Arial"/>
              </w:rPr>
              <w:t>mP16AF245</w:t>
            </w:r>
          </w:p>
        </w:tc>
        <w:tc>
          <w:tcPr>
            <w:tcW w:w="1879" w:type="dxa"/>
          </w:tcPr>
          <w:p w14:paraId="03757B3C" w14:textId="77777777" w:rsidR="00216D56" w:rsidRPr="0045713D" w:rsidRDefault="00216D56" w:rsidP="00A07E6E">
            <w:pPr>
              <w:pStyle w:val="Textonotapie"/>
              <w:spacing w:after="0" w:line="240" w:lineRule="auto"/>
              <w:rPr>
                <w:rFonts w:cs="Arial"/>
              </w:rPr>
            </w:pPr>
            <w:r w:rsidRPr="0045713D">
              <w:rPr>
                <w:rFonts w:cs="Arial"/>
              </w:rPr>
              <w:t xml:space="preserve">1 </w:t>
            </w:r>
            <w:proofErr w:type="spellStart"/>
            <w:r w:rsidRPr="0045713D">
              <w:rPr>
                <w:rFonts w:cs="Arial"/>
              </w:rPr>
              <w:t>ud</w:t>
            </w:r>
            <w:proofErr w:type="spellEnd"/>
          </w:p>
        </w:tc>
        <w:tc>
          <w:tcPr>
            <w:tcW w:w="1879" w:type="dxa"/>
          </w:tcPr>
          <w:p w14:paraId="4D056105" w14:textId="77777777" w:rsidR="00216D56" w:rsidRPr="0045713D" w:rsidRDefault="00216D56" w:rsidP="00A07E6E">
            <w:pPr>
              <w:pStyle w:val="Textonotapie"/>
              <w:spacing w:after="0" w:line="240" w:lineRule="auto"/>
              <w:rPr>
                <w:rFonts w:cs="Arial"/>
              </w:rPr>
            </w:pPr>
            <w:r w:rsidRPr="0045713D">
              <w:rPr>
                <w:rFonts w:cs="Arial"/>
              </w:rPr>
              <w:t>Candelabro Bailen II con crucero para 2 p. luz y remate central</w:t>
            </w:r>
          </w:p>
        </w:tc>
        <w:tc>
          <w:tcPr>
            <w:tcW w:w="1879" w:type="dxa"/>
          </w:tcPr>
          <w:p w14:paraId="6267EDCE" w14:textId="77777777" w:rsidR="00216D56" w:rsidRPr="0045713D" w:rsidRDefault="00216D56" w:rsidP="00A07E6E">
            <w:pPr>
              <w:pStyle w:val="Textonotapie"/>
              <w:spacing w:after="0" w:line="240" w:lineRule="auto"/>
              <w:jc w:val="right"/>
              <w:rPr>
                <w:rFonts w:cs="Arial"/>
              </w:rPr>
            </w:pPr>
            <w:r w:rsidRPr="0045713D">
              <w:rPr>
                <w:rFonts w:cs="Arial"/>
              </w:rPr>
              <w:t>1644,75</w:t>
            </w:r>
          </w:p>
        </w:tc>
        <w:tc>
          <w:tcPr>
            <w:tcW w:w="1879" w:type="dxa"/>
          </w:tcPr>
          <w:p w14:paraId="481AF4BE" w14:textId="77777777" w:rsidR="00216D56" w:rsidRPr="0045713D" w:rsidRDefault="00216D56" w:rsidP="00A07E6E">
            <w:pPr>
              <w:pStyle w:val="Textonotapie"/>
              <w:spacing w:after="0" w:line="240" w:lineRule="auto"/>
              <w:jc w:val="right"/>
              <w:rPr>
                <w:rFonts w:cs="Arial"/>
              </w:rPr>
            </w:pPr>
            <w:r w:rsidRPr="0045713D">
              <w:rPr>
                <w:rFonts w:cs="Arial"/>
              </w:rPr>
              <w:t>1644,75</w:t>
            </w:r>
          </w:p>
        </w:tc>
      </w:tr>
      <w:tr w:rsidR="00216D56" w:rsidRPr="0045713D" w14:paraId="4EFFE39C" w14:textId="77777777" w:rsidTr="00973008">
        <w:tc>
          <w:tcPr>
            <w:tcW w:w="1879" w:type="dxa"/>
          </w:tcPr>
          <w:p w14:paraId="297C7B8A" w14:textId="77777777" w:rsidR="00216D56" w:rsidRPr="0045713D" w:rsidRDefault="00216D56" w:rsidP="00A07E6E">
            <w:pPr>
              <w:pStyle w:val="Textonotapie"/>
              <w:spacing w:after="0" w:line="240" w:lineRule="auto"/>
              <w:rPr>
                <w:rFonts w:cs="Arial"/>
              </w:rPr>
            </w:pPr>
            <w:r w:rsidRPr="0045713D">
              <w:rPr>
                <w:rFonts w:cs="Arial"/>
              </w:rPr>
              <w:t>mP15AH120</w:t>
            </w:r>
          </w:p>
        </w:tc>
        <w:tc>
          <w:tcPr>
            <w:tcW w:w="1879" w:type="dxa"/>
          </w:tcPr>
          <w:p w14:paraId="279C1AE0" w14:textId="77777777" w:rsidR="00216D56" w:rsidRPr="0045713D" w:rsidRDefault="00216D56" w:rsidP="00A07E6E">
            <w:pPr>
              <w:pStyle w:val="Textonotapie"/>
              <w:spacing w:after="0" w:line="240" w:lineRule="auto"/>
              <w:rPr>
                <w:rFonts w:cs="Arial"/>
              </w:rPr>
            </w:pPr>
            <w:r w:rsidRPr="0045713D">
              <w:rPr>
                <w:rFonts w:cs="Arial"/>
              </w:rPr>
              <w:t xml:space="preserve">1 </w:t>
            </w:r>
            <w:proofErr w:type="spellStart"/>
            <w:r w:rsidRPr="0045713D">
              <w:rPr>
                <w:rFonts w:cs="Arial"/>
              </w:rPr>
              <w:t>ud</w:t>
            </w:r>
            <w:proofErr w:type="spellEnd"/>
          </w:p>
        </w:tc>
        <w:tc>
          <w:tcPr>
            <w:tcW w:w="1879" w:type="dxa"/>
          </w:tcPr>
          <w:p w14:paraId="2ABFD0A1" w14:textId="77777777" w:rsidR="00216D56" w:rsidRPr="0045713D" w:rsidRDefault="00216D56" w:rsidP="00A07E6E">
            <w:pPr>
              <w:pStyle w:val="Textonotapie"/>
              <w:spacing w:after="0" w:line="240" w:lineRule="auto"/>
              <w:rPr>
                <w:rFonts w:cs="Arial"/>
              </w:rPr>
            </w:pPr>
            <w:r w:rsidRPr="0045713D">
              <w:rPr>
                <w:rFonts w:cs="Arial"/>
              </w:rPr>
              <w:t>Material auxiliar eléctrico</w:t>
            </w:r>
          </w:p>
        </w:tc>
        <w:tc>
          <w:tcPr>
            <w:tcW w:w="1879" w:type="dxa"/>
          </w:tcPr>
          <w:p w14:paraId="1BB36E62" w14:textId="77777777" w:rsidR="00216D56" w:rsidRPr="0045713D" w:rsidRDefault="00216D56" w:rsidP="00A07E6E">
            <w:pPr>
              <w:pStyle w:val="Textonotapie"/>
              <w:spacing w:after="0" w:line="240" w:lineRule="auto"/>
              <w:jc w:val="right"/>
              <w:rPr>
                <w:rFonts w:cs="Arial"/>
              </w:rPr>
            </w:pPr>
            <w:r w:rsidRPr="0045713D">
              <w:rPr>
                <w:rFonts w:cs="Arial"/>
              </w:rPr>
              <w:t>0,74</w:t>
            </w:r>
          </w:p>
        </w:tc>
        <w:tc>
          <w:tcPr>
            <w:tcW w:w="1879" w:type="dxa"/>
          </w:tcPr>
          <w:p w14:paraId="4D9E5A6D" w14:textId="77777777" w:rsidR="00216D56" w:rsidRPr="0045713D" w:rsidRDefault="00216D56" w:rsidP="00A07E6E">
            <w:pPr>
              <w:pStyle w:val="Textonotapie"/>
              <w:spacing w:after="0" w:line="240" w:lineRule="auto"/>
              <w:jc w:val="right"/>
              <w:rPr>
                <w:rFonts w:cs="Arial"/>
              </w:rPr>
            </w:pPr>
            <w:r w:rsidRPr="0045713D">
              <w:rPr>
                <w:rFonts w:cs="Arial"/>
              </w:rPr>
              <w:t>0,74</w:t>
            </w:r>
          </w:p>
        </w:tc>
      </w:tr>
      <w:tr w:rsidR="00216D56" w:rsidRPr="0045713D" w14:paraId="1A84D0AA" w14:textId="77777777" w:rsidTr="00973008">
        <w:tc>
          <w:tcPr>
            <w:tcW w:w="1879" w:type="dxa"/>
          </w:tcPr>
          <w:p w14:paraId="49CBB39C" w14:textId="77777777" w:rsidR="00216D56" w:rsidRPr="0045713D" w:rsidRDefault="00216D56" w:rsidP="00A07E6E">
            <w:pPr>
              <w:pStyle w:val="Textonotapie"/>
              <w:spacing w:after="0" w:line="240" w:lineRule="auto"/>
              <w:rPr>
                <w:rFonts w:cs="Arial"/>
              </w:rPr>
            </w:pPr>
            <w:r w:rsidRPr="0045713D">
              <w:rPr>
                <w:rFonts w:cs="Arial"/>
              </w:rPr>
              <w:t>%CI0300</w:t>
            </w:r>
          </w:p>
        </w:tc>
        <w:tc>
          <w:tcPr>
            <w:tcW w:w="1879" w:type="dxa"/>
          </w:tcPr>
          <w:p w14:paraId="26B63CA4" w14:textId="77777777" w:rsidR="00216D56" w:rsidRPr="0045713D" w:rsidRDefault="00216D56" w:rsidP="00A07E6E">
            <w:pPr>
              <w:pStyle w:val="Textonotapie"/>
              <w:spacing w:after="0" w:line="240" w:lineRule="auto"/>
              <w:rPr>
                <w:rFonts w:cs="Arial"/>
              </w:rPr>
            </w:pPr>
            <w:r w:rsidRPr="0045713D">
              <w:rPr>
                <w:rFonts w:cs="Arial"/>
              </w:rPr>
              <w:t>16,608 %</w:t>
            </w:r>
          </w:p>
        </w:tc>
        <w:tc>
          <w:tcPr>
            <w:tcW w:w="1879" w:type="dxa"/>
          </w:tcPr>
          <w:p w14:paraId="384138AB" w14:textId="77777777" w:rsidR="00216D56" w:rsidRPr="0045713D" w:rsidRDefault="00216D56" w:rsidP="00A07E6E">
            <w:pPr>
              <w:pStyle w:val="Textonotapie"/>
              <w:spacing w:after="0" w:line="240" w:lineRule="auto"/>
              <w:rPr>
                <w:rFonts w:cs="Arial"/>
              </w:rPr>
            </w:pPr>
            <w:r w:rsidRPr="0045713D">
              <w:rPr>
                <w:rFonts w:cs="Arial"/>
              </w:rPr>
              <w:t>Costes indirectos</w:t>
            </w:r>
          </w:p>
        </w:tc>
        <w:tc>
          <w:tcPr>
            <w:tcW w:w="1879" w:type="dxa"/>
          </w:tcPr>
          <w:p w14:paraId="3927D0D6" w14:textId="77777777" w:rsidR="00216D56" w:rsidRPr="0045713D" w:rsidRDefault="00216D56" w:rsidP="00A07E6E">
            <w:pPr>
              <w:pStyle w:val="Textonotapie"/>
              <w:spacing w:after="0" w:line="240" w:lineRule="auto"/>
              <w:jc w:val="right"/>
              <w:rPr>
                <w:rFonts w:cs="Arial"/>
              </w:rPr>
            </w:pPr>
            <w:r w:rsidRPr="0045713D">
              <w:rPr>
                <w:rFonts w:cs="Arial"/>
              </w:rPr>
              <w:t>3</w:t>
            </w:r>
          </w:p>
        </w:tc>
        <w:tc>
          <w:tcPr>
            <w:tcW w:w="1879" w:type="dxa"/>
          </w:tcPr>
          <w:p w14:paraId="47837DFB" w14:textId="77777777" w:rsidR="00216D56" w:rsidRPr="0045713D" w:rsidRDefault="00216D56" w:rsidP="00A07E6E">
            <w:pPr>
              <w:pStyle w:val="Textonotapie"/>
              <w:spacing w:after="0" w:line="240" w:lineRule="auto"/>
              <w:jc w:val="right"/>
              <w:rPr>
                <w:rFonts w:cs="Arial"/>
              </w:rPr>
            </w:pPr>
            <w:r w:rsidRPr="0045713D">
              <w:rPr>
                <w:rFonts w:cs="Arial"/>
              </w:rPr>
              <w:t>49,82</w:t>
            </w:r>
          </w:p>
        </w:tc>
      </w:tr>
    </w:tbl>
    <w:p w14:paraId="327FDB5F" w14:textId="56CCA422" w:rsidR="00216D56" w:rsidRPr="0045713D" w:rsidRDefault="00216D56" w:rsidP="00A07E6E">
      <w:pPr>
        <w:autoSpaceDE w:val="0"/>
        <w:autoSpaceDN w:val="0"/>
        <w:adjustRightInd w:val="0"/>
        <w:jc w:val="both"/>
        <w:rPr>
          <w:rFonts w:ascii="Arial" w:hAnsi="Arial" w:cs="Arial"/>
          <w:sz w:val="20"/>
          <w:szCs w:val="20"/>
        </w:rPr>
      </w:pPr>
      <w:r w:rsidRPr="0045713D">
        <w:rPr>
          <w:rFonts w:ascii="Arial" w:hAnsi="Arial" w:cs="Arial"/>
          <w:sz w:val="20"/>
          <w:szCs w:val="20"/>
        </w:rPr>
        <w:tab/>
      </w:r>
      <w:r w:rsidRPr="0045713D">
        <w:rPr>
          <w:rFonts w:ascii="Arial" w:hAnsi="Arial" w:cs="Arial"/>
          <w:sz w:val="20"/>
          <w:szCs w:val="20"/>
        </w:rPr>
        <w:tab/>
      </w:r>
      <w:r w:rsidRPr="0045713D">
        <w:rPr>
          <w:rFonts w:ascii="Arial" w:hAnsi="Arial" w:cs="Arial"/>
          <w:sz w:val="20"/>
          <w:szCs w:val="20"/>
        </w:rPr>
        <w:tab/>
      </w:r>
      <w:r w:rsidRPr="0045713D">
        <w:rPr>
          <w:rFonts w:ascii="Arial" w:hAnsi="Arial" w:cs="Arial"/>
          <w:sz w:val="20"/>
          <w:szCs w:val="20"/>
        </w:rPr>
        <w:tab/>
      </w:r>
      <w:r w:rsidRPr="0045713D">
        <w:rPr>
          <w:rFonts w:ascii="Arial" w:hAnsi="Arial" w:cs="Arial"/>
          <w:sz w:val="20"/>
          <w:szCs w:val="20"/>
        </w:rPr>
        <w:tab/>
      </w:r>
      <w:r w:rsidRPr="0045713D">
        <w:rPr>
          <w:rFonts w:ascii="Arial" w:hAnsi="Arial" w:cs="Arial"/>
          <w:sz w:val="20"/>
          <w:szCs w:val="20"/>
        </w:rPr>
        <w:tab/>
      </w:r>
      <w:r w:rsidRPr="0045713D">
        <w:rPr>
          <w:rFonts w:ascii="Arial" w:hAnsi="Arial" w:cs="Arial"/>
          <w:sz w:val="20"/>
          <w:szCs w:val="20"/>
        </w:rPr>
        <w:tab/>
      </w:r>
      <w:r w:rsidRPr="0045713D">
        <w:rPr>
          <w:rFonts w:ascii="Arial" w:hAnsi="Arial" w:cs="Arial"/>
          <w:b/>
          <w:sz w:val="20"/>
          <w:szCs w:val="20"/>
        </w:rPr>
        <w:t>TOTAL PARTIDA…………</w:t>
      </w:r>
      <w:r w:rsidRPr="0045713D">
        <w:rPr>
          <w:rFonts w:ascii="Arial" w:hAnsi="Arial" w:cs="Arial"/>
          <w:b/>
          <w:sz w:val="20"/>
          <w:szCs w:val="20"/>
        </w:rPr>
        <w:tab/>
      </w:r>
      <w:r w:rsidRPr="0045713D">
        <w:rPr>
          <w:rFonts w:ascii="Arial" w:hAnsi="Arial" w:cs="Arial"/>
          <w:b/>
          <w:sz w:val="20"/>
          <w:szCs w:val="20"/>
        </w:rPr>
        <w:tab/>
        <w:t>1.710,57</w:t>
      </w:r>
    </w:p>
    <w:p w14:paraId="04D444AE" w14:textId="77777777" w:rsidR="00650BB4" w:rsidRPr="0045713D" w:rsidRDefault="00650BB4" w:rsidP="00A07E6E">
      <w:pPr>
        <w:autoSpaceDE w:val="0"/>
        <w:autoSpaceDN w:val="0"/>
        <w:adjustRightInd w:val="0"/>
        <w:jc w:val="both"/>
        <w:rPr>
          <w:rFonts w:ascii="Arial" w:hAnsi="Arial" w:cs="Arial"/>
          <w:sz w:val="22"/>
          <w:szCs w:val="22"/>
        </w:rPr>
      </w:pPr>
    </w:p>
    <w:p w14:paraId="16C238FC" w14:textId="77777777" w:rsidR="00E510B2" w:rsidRPr="0045713D" w:rsidRDefault="00E510B2" w:rsidP="00A07E6E">
      <w:pPr>
        <w:autoSpaceDE w:val="0"/>
        <w:autoSpaceDN w:val="0"/>
        <w:adjustRightInd w:val="0"/>
        <w:jc w:val="both"/>
        <w:rPr>
          <w:rFonts w:ascii="Arial" w:hAnsi="Arial" w:cs="Arial"/>
          <w:sz w:val="22"/>
          <w:szCs w:val="22"/>
        </w:rPr>
      </w:pPr>
    </w:p>
    <w:p w14:paraId="5E5B7B0F" w14:textId="2E8B281C" w:rsidR="00E30852" w:rsidRPr="0045713D" w:rsidRDefault="00440896" w:rsidP="00A07E6E">
      <w:pPr>
        <w:autoSpaceDE w:val="0"/>
        <w:autoSpaceDN w:val="0"/>
        <w:adjustRightInd w:val="0"/>
        <w:jc w:val="both"/>
        <w:rPr>
          <w:rFonts w:ascii="Arial" w:hAnsi="Arial" w:cs="Arial"/>
          <w:i/>
          <w:sz w:val="22"/>
          <w:szCs w:val="22"/>
        </w:rPr>
      </w:pPr>
      <w:r w:rsidRPr="0045713D">
        <w:rPr>
          <w:rFonts w:ascii="Arial" w:hAnsi="Arial" w:cs="Arial"/>
          <w:sz w:val="22"/>
          <w:szCs w:val="22"/>
        </w:rPr>
        <w:t>Como se ha señalado en la segunda</w:t>
      </w:r>
      <w:r w:rsidR="00E30852" w:rsidRPr="0045713D">
        <w:rPr>
          <w:rFonts w:ascii="Arial" w:hAnsi="Arial" w:cs="Arial"/>
          <w:sz w:val="22"/>
          <w:szCs w:val="22"/>
        </w:rPr>
        <w:t xml:space="preserve"> co</w:t>
      </w:r>
      <w:r w:rsidR="00844BBA" w:rsidRPr="0045713D">
        <w:rPr>
          <w:rFonts w:ascii="Arial" w:hAnsi="Arial" w:cs="Arial"/>
          <w:sz w:val="22"/>
          <w:szCs w:val="22"/>
        </w:rPr>
        <w:t xml:space="preserve">nsideración de este informe </w:t>
      </w:r>
      <w:r w:rsidR="00E30852" w:rsidRPr="0045713D">
        <w:rPr>
          <w:rFonts w:ascii="Arial" w:hAnsi="Arial" w:cs="Arial"/>
          <w:sz w:val="22"/>
          <w:szCs w:val="22"/>
        </w:rPr>
        <w:t>órganos</w:t>
      </w:r>
      <w:r w:rsidR="00844BBA" w:rsidRPr="0045713D">
        <w:rPr>
          <w:rFonts w:ascii="Arial" w:hAnsi="Arial" w:cs="Arial"/>
          <w:sz w:val="22"/>
          <w:szCs w:val="22"/>
        </w:rPr>
        <w:t xml:space="preserve"> consultivos en materia de contratación</w:t>
      </w:r>
      <w:r w:rsidR="00E30852" w:rsidRPr="0045713D">
        <w:rPr>
          <w:rFonts w:ascii="Arial" w:hAnsi="Arial" w:cs="Arial"/>
          <w:sz w:val="22"/>
          <w:szCs w:val="22"/>
        </w:rPr>
        <w:t xml:space="preserve"> de</w:t>
      </w:r>
      <w:r w:rsidR="00973008" w:rsidRPr="0045713D">
        <w:rPr>
          <w:rFonts w:ascii="Arial" w:hAnsi="Arial" w:cs="Arial"/>
          <w:sz w:val="22"/>
          <w:szCs w:val="22"/>
        </w:rPr>
        <w:t xml:space="preserve"> distintas Administraciones </w:t>
      </w:r>
      <w:r w:rsidR="00E30852" w:rsidRPr="0045713D">
        <w:rPr>
          <w:rFonts w:ascii="Arial" w:hAnsi="Arial" w:cs="Arial"/>
          <w:sz w:val="22"/>
          <w:szCs w:val="22"/>
        </w:rPr>
        <w:t xml:space="preserve">se han pronunciado sobre el artículo 242.4.ii de la LCSP </w:t>
      </w:r>
      <w:r w:rsidR="00844BBA" w:rsidRPr="0045713D">
        <w:rPr>
          <w:rFonts w:ascii="Arial" w:hAnsi="Arial" w:cs="Arial"/>
          <w:sz w:val="22"/>
          <w:szCs w:val="22"/>
        </w:rPr>
        <w:t xml:space="preserve">y </w:t>
      </w:r>
      <w:r w:rsidR="00E30852" w:rsidRPr="0045713D">
        <w:rPr>
          <w:rFonts w:ascii="Arial" w:hAnsi="Arial" w:cs="Arial"/>
          <w:sz w:val="22"/>
          <w:szCs w:val="22"/>
        </w:rPr>
        <w:t>son coincidentes al señalar que dicho precepto no permite introducir unidades de obra nuevas sin tramitar un expediente de modificación contractual.</w:t>
      </w:r>
      <w:r w:rsidR="00844BBA" w:rsidRPr="0045713D">
        <w:rPr>
          <w:rFonts w:ascii="Arial" w:hAnsi="Arial" w:cs="Arial"/>
          <w:sz w:val="22"/>
          <w:szCs w:val="22"/>
        </w:rPr>
        <w:t xml:space="preserve"> Por ser un informe muy claro,</w:t>
      </w:r>
      <w:r w:rsidR="0057008C" w:rsidRPr="0045713D">
        <w:rPr>
          <w:rFonts w:ascii="Arial" w:hAnsi="Arial" w:cs="Arial"/>
          <w:sz w:val="22"/>
          <w:szCs w:val="22"/>
        </w:rPr>
        <w:t xml:space="preserve"> contundente y reciente en su emisión procede volver hacer referencia al Informe 2/2022, de 21 de febrero, de la Junta Consultiva de Contratación Administrativa de la Comunidad Autónoma de Aragón titulado “</w:t>
      </w:r>
      <w:r w:rsidR="0057008C" w:rsidRPr="0045713D">
        <w:rPr>
          <w:rFonts w:ascii="Arial" w:hAnsi="Arial" w:cs="Arial"/>
          <w:i/>
          <w:sz w:val="22"/>
          <w:szCs w:val="22"/>
        </w:rPr>
        <w:t>Licitación conjunta de dos proyectos de obra. Unidades de obra sobre las que procedería aplicar la actualización puntual de precios regulada en el artículo 242.4. ii. de la LCSP, sin la necesidad de tramitar una modificación contractual</w:t>
      </w:r>
      <w:r w:rsidR="0057008C" w:rsidRPr="0045713D">
        <w:rPr>
          <w:rFonts w:ascii="Arial" w:hAnsi="Arial" w:cs="Arial"/>
          <w:sz w:val="22"/>
          <w:szCs w:val="22"/>
        </w:rPr>
        <w:t>”</w:t>
      </w:r>
      <w:r w:rsidR="003A3387" w:rsidRPr="0045713D">
        <w:rPr>
          <w:rFonts w:ascii="Arial" w:hAnsi="Arial" w:cs="Arial"/>
          <w:sz w:val="22"/>
          <w:szCs w:val="22"/>
        </w:rPr>
        <w:t>. Efectuando un análisis hermenéutico de la excepción contenida en dicho precepto señala dicho informe “</w:t>
      </w:r>
      <w:r w:rsidR="003A3387" w:rsidRPr="0045713D">
        <w:rPr>
          <w:rFonts w:ascii="Arial" w:hAnsi="Arial" w:cs="Arial"/>
          <w:i/>
          <w:sz w:val="22"/>
          <w:szCs w:val="22"/>
        </w:rPr>
        <w:t>…se puede observar que es el propio artículo el que circunscribe la posibilidad de la inclusión, -como elemento novedoso en la ejecución del contrato-, exclusivamente en el concepto de «precios nuevos»; en cambio, utiliza el término referido a «unidades de obra», que es mucho más amplio, para definir respecto a él con un porcentaje que limita la aplicación de la propia excepción.</w:t>
      </w:r>
    </w:p>
    <w:p w14:paraId="768CE2F6" w14:textId="77777777" w:rsidR="003A3387" w:rsidRPr="0045713D" w:rsidRDefault="003A3387" w:rsidP="00A07E6E">
      <w:pPr>
        <w:autoSpaceDE w:val="0"/>
        <w:autoSpaceDN w:val="0"/>
        <w:adjustRightInd w:val="0"/>
        <w:jc w:val="both"/>
        <w:rPr>
          <w:rFonts w:ascii="Arial" w:hAnsi="Arial" w:cs="Arial"/>
          <w:i/>
          <w:sz w:val="22"/>
          <w:szCs w:val="22"/>
        </w:rPr>
      </w:pPr>
    </w:p>
    <w:p w14:paraId="15EBE284" w14:textId="77777777" w:rsidR="003A3387" w:rsidRPr="0045713D" w:rsidRDefault="003A3387" w:rsidP="00A07E6E">
      <w:pPr>
        <w:autoSpaceDE w:val="0"/>
        <w:autoSpaceDN w:val="0"/>
        <w:adjustRightInd w:val="0"/>
        <w:jc w:val="both"/>
        <w:rPr>
          <w:rFonts w:ascii="Arial" w:hAnsi="Arial" w:cs="Arial"/>
          <w:i/>
          <w:sz w:val="22"/>
          <w:szCs w:val="22"/>
        </w:rPr>
      </w:pPr>
      <w:r w:rsidRPr="0045713D">
        <w:rPr>
          <w:rFonts w:ascii="Arial" w:hAnsi="Arial" w:cs="Arial"/>
          <w:i/>
          <w:sz w:val="22"/>
          <w:szCs w:val="22"/>
        </w:rPr>
        <w:t>Es decir, la mención de las unidades en el precepto, lo está como expresión de los límites y condicionantes al ejercicio de la acción, pero realmente no se encuentra expresado como posibilidad de inclusión en sí misma, como sí hace el</w:t>
      </w:r>
      <w:r w:rsidR="003D5E11" w:rsidRPr="0045713D">
        <w:rPr>
          <w:rFonts w:ascii="Arial" w:hAnsi="Arial" w:cs="Arial"/>
          <w:i/>
          <w:sz w:val="22"/>
          <w:szCs w:val="22"/>
        </w:rPr>
        <w:t xml:space="preserve"> </w:t>
      </w:r>
      <w:r w:rsidRPr="0045713D">
        <w:rPr>
          <w:rFonts w:ascii="Arial" w:hAnsi="Arial" w:cs="Arial"/>
          <w:i/>
          <w:sz w:val="22"/>
          <w:szCs w:val="22"/>
        </w:rPr>
        <w:t>precepto respecto del precio nuevo</w:t>
      </w:r>
      <w:r w:rsidR="003D5E11" w:rsidRPr="0045713D">
        <w:rPr>
          <w:rFonts w:ascii="Arial" w:hAnsi="Arial" w:cs="Arial"/>
          <w:i/>
          <w:sz w:val="22"/>
          <w:szCs w:val="22"/>
        </w:rPr>
        <w:t>”</w:t>
      </w:r>
    </w:p>
    <w:p w14:paraId="155DB234" w14:textId="77777777" w:rsidR="003D5E11" w:rsidRPr="0045713D" w:rsidRDefault="003D5E11" w:rsidP="00A07E6E">
      <w:pPr>
        <w:autoSpaceDE w:val="0"/>
        <w:autoSpaceDN w:val="0"/>
        <w:adjustRightInd w:val="0"/>
        <w:jc w:val="both"/>
        <w:rPr>
          <w:rFonts w:ascii="Arial" w:hAnsi="Arial" w:cs="Arial"/>
          <w:i/>
          <w:sz w:val="22"/>
          <w:szCs w:val="22"/>
        </w:rPr>
      </w:pPr>
    </w:p>
    <w:p w14:paraId="468A3CF9" w14:textId="5E7CD213" w:rsidR="003D5E11" w:rsidRPr="0045713D" w:rsidRDefault="003D5E11" w:rsidP="00A07E6E">
      <w:pPr>
        <w:autoSpaceDE w:val="0"/>
        <w:autoSpaceDN w:val="0"/>
        <w:adjustRightInd w:val="0"/>
        <w:jc w:val="both"/>
        <w:rPr>
          <w:rFonts w:ascii="Arial" w:hAnsi="Arial" w:cs="Arial"/>
          <w:i/>
          <w:sz w:val="22"/>
          <w:szCs w:val="22"/>
        </w:rPr>
      </w:pPr>
      <w:r w:rsidRPr="0045713D">
        <w:rPr>
          <w:rFonts w:ascii="Arial" w:hAnsi="Arial" w:cs="Arial"/>
          <w:sz w:val="22"/>
          <w:szCs w:val="22"/>
        </w:rPr>
        <w:t>Dicho informe otorga una definición del concepto &lt;&lt;unidad de obra&gt;&gt; que resulta plenamente</w:t>
      </w:r>
      <w:r w:rsidR="006834BD" w:rsidRPr="0045713D">
        <w:rPr>
          <w:rFonts w:ascii="Arial" w:hAnsi="Arial" w:cs="Arial"/>
          <w:sz w:val="22"/>
          <w:szCs w:val="22"/>
        </w:rPr>
        <w:t>, en el expediente que se analiza,</w:t>
      </w:r>
      <w:r w:rsidRPr="0045713D">
        <w:rPr>
          <w:rFonts w:ascii="Arial" w:hAnsi="Arial" w:cs="Arial"/>
          <w:sz w:val="22"/>
          <w:szCs w:val="22"/>
        </w:rPr>
        <w:t xml:space="preserve"> a las nuevas partidas que se incorporan con las actas de precios nuevos diciendo que </w:t>
      </w:r>
      <w:r w:rsidRPr="0045713D">
        <w:rPr>
          <w:rFonts w:ascii="Arial" w:hAnsi="Arial" w:cs="Arial"/>
          <w:i/>
          <w:sz w:val="22"/>
          <w:szCs w:val="22"/>
        </w:rPr>
        <w:t>“La «unidad de obra» consiste en cada una de las partes de la obra, o incluso agrupación de varias partes de esta, que procede medir de forma independiente, pero que se valoran en función de una misma unidad de medida, ya sean kilos, toneladas, metros cuadrados o cúbicos. Consisten en los trabajos concretos, medibles y controlables, en los que podemos dividir una obra e incluyen la mano de</w:t>
      </w:r>
      <w:r w:rsidR="00093119" w:rsidRPr="0045713D">
        <w:rPr>
          <w:rFonts w:ascii="Arial" w:hAnsi="Arial" w:cs="Arial"/>
          <w:i/>
          <w:sz w:val="22"/>
          <w:szCs w:val="22"/>
        </w:rPr>
        <w:t xml:space="preserve"> </w:t>
      </w:r>
      <w:r w:rsidRPr="0045713D">
        <w:rPr>
          <w:rFonts w:ascii="Arial" w:hAnsi="Arial" w:cs="Arial"/>
          <w:i/>
          <w:sz w:val="22"/>
          <w:szCs w:val="22"/>
        </w:rPr>
        <w:t>obra, los medios auxiliares y los materiales necesarios para llevarla a cabo.</w:t>
      </w:r>
    </w:p>
    <w:p w14:paraId="4051EC42" w14:textId="77777777" w:rsidR="00093119" w:rsidRPr="0045713D" w:rsidRDefault="00093119" w:rsidP="00A07E6E">
      <w:pPr>
        <w:autoSpaceDE w:val="0"/>
        <w:autoSpaceDN w:val="0"/>
        <w:adjustRightInd w:val="0"/>
        <w:jc w:val="both"/>
        <w:rPr>
          <w:rFonts w:ascii="Arial" w:hAnsi="Arial" w:cs="Arial"/>
          <w:i/>
          <w:sz w:val="22"/>
          <w:szCs w:val="22"/>
        </w:rPr>
      </w:pPr>
    </w:p>
    <w:p w14:paraId="21E1649D" w14:textId="623C2496" w:rsidR="00093119" w:rsidRPr="0045713D" w:rsidRDefault="00093119" w:rsidP="00A07E6E">
      <w:pPr>
        <w:autoSpaceDE w:val="0"/>
        <w:autoSpaceDN w:val="0"/>
        <w:adjustRightInd w:val="0"/>
        <w:jc w:val="both"/>
        <w:rPr>
          <w:rFonts w:ascii="Arial" w:hAnsi="Arial" w:cs="Arial"/>
          <w:i/>
          <w:sz w:val="22"/>
          <w:szCs w:val="22"/>
        </w:rPr>
      </w:pPr>
      <w:r w:rsidRPr="0045713D">
        <w:rPr>
          <w:rFonts w:ascii="Arial" w:hAnsi="Arial" w:cs="Arial"/>
          <w:i/>
          <w:sz w:val="22"/>
          <w:szCs w:val="22"/>
        </w:rPr>
        <w:t xml:space="preserve">Los proyectos de ejecución de las obras detallan las diferentes unidades de obra que requiere su ejecución, con una breve descripción que contendrá, tanto el nombre de la unidad de obra, como </w:t>
      </w:r>
      <w:r w:rsidRPr="0045713D">
        <w:rPr>
          <w:rFonts w:ascii="Arial" w:hAnsi="Arial" w:cs="Arial"/>
          <w:i/>
          <w:sz w:val="22"/>
          <w:szCs w:val="22"/>
        </w:rPr>
        <w:lastRenderedPageBreak/>
        <w:t>el trabajo que pretende realizarse con ella, así como los materiales que la conforman, con desglose de sus respectivos «precios», que, una vez multiplicados por las mediciones de obra de la unidad, permitirán establecer un coste concreto para cada unidad de ejecución”</w:t>
      </w:r>
    </w:p>
    <w:p w14:paraId="501559D3" w14:textId="77777777" w:rsidR="00E510B2" w:rsidRPr="0045713D" w:rsidRDefault="00E510B2" w:rsidP="00A07E6E">
      <w:pPr>
        <w:autoSpaceDE w:val="0"/>
        <w:autoSpaceDN w:val="0"/>
        <w:adjustRightInd w:val="0"/>
        <w:jc w:val="both"/>
        <w:rPr>
          <w:rFonts w:ascii="Arial" w:hAnsi="Arial" w:cs="Arial"/>
          <w:sz w:val="22"/>
          <w:szCs w:val="22"/>
        </w:rPr>
      </w:pPr>
    </w:p>
    <w:p w14:paraId="53C2A94D" w14:textId="3CCE440C" w:rsidR="006834BD" w:rsidRPr="0045713D" w:rsidRDefault="00553D76" w:rsidP="00A07E6E">
      <w:pPr>
        <w:autoSpaceDE w:val="0"/>
        <w:autoSpaceDN w:val="0"/>
        <w:adjustRightInd w:val="0"/>
        <w:jc w:val="both"/>
        <w:rPr>
          <w:rFonts w:ascii="Arial" w:hAnsi="Arial" w:cs="Arial"/>
          <w:sz w:val="22"/>
          <w:szCs w:val="22"/>
        </w:rPr>
      </w:pPr>
      <w:r w:rsidRPr="0045713D">
        <w:rPr>
          <w:rFonts w:ascii="Arial" w:hAnsi="Arial" w:cs="Arial"/>
          <w:sz w:val="22"/>
          <w:szCs w:val="22"/>
        </w:rPr>
        <w:t>Se subraya que esta interpretación restrictiva del artículo 242.4.ii de la LCSP es también compartida, tanto por la Junta Consultiva de Contratación Pública del Estado en su Informe 85/18, como por la Junta Consultiva de la Comunidad valenciana en el Informe 4/2019, de 25 de febrero</w:t>
      </w:r>
      <w:r w:rsidR="00B62B68" w:rsidRPr="0045713D">
        <w:rPr>
          <w:rFonts w:ascii="Arial" w:hAnsi="Arial" w:cs="Arial"/>
          <w:sz w:val="22"/>
          <w:szCs w:val="22"/>
        </w:rPr>
        <w:t>, por la que debe ser l</w:t>
      </w:r>
      <w:r w:rsidRPr="0045713D">
        <w:rPr>
          <w:rFonts w:ascii="Arial" w:hAnsi="Arial" w:cs="Arial"/>
          <w:sz w:val="22"/>
          <w:szCs w:val="22"/>
        </w:rPr>
        <w:t xml:space="preserve">a que </w:t>
      </w:r>
      <w:r w:rsidR="0080656A" w:rsidRPr="0045713D">
        <w:rPr>
          <w:rFonts w:ascii="Arial" w:hAnsi="Arial" w:cs="Arial"/>
          <w:sz w:val="22"/>
          <w:szCs w:val="22"/>
        </w:rPr>
        <w:t>manifieste</w:t>
      </w:r>
      <w:r w:rsidR="00B62B68" w:rsidRPr="0045713D">
        <w:rPr>
          <w:rFonts w:ascii="Arial" w:hAnsi="Arial" w:cs="Arial"/>
          <w:sz w:val="22"/>
          <w:szCs w:val="22"/>
        </w:rPr>
        <w:t xml:space="preserve"> este Centro Fiscal. </w:t>
      </w:r>
    </w:p>
    <w:p w14:paraId="5C685CAA" w14:textId="77777777" w:rsidR="006834BD" w:rsidRPr="0045713D" w:rsidRDefault="006834BD" w:rsidP="00A07E6E">
      <w:pPr>
        <w:autoSpaceDE w:val="0"/>
        <w:autoSpaceDN w:val="0"/>
        <w:adjustRightInd w:val="0"/>
        <w:jc w:val="both"/>
        <w:rPr>
          <w:rFonts w:ascii="Arial" w:hAnsi="Arial" w:cs="Arial"/>
          <w:sz w:val="22"/>
          <w:szCs w:val="22"/>
        </w:rPr>
      </w:pPr>
    </w:p>
    <w:p w14:paraId="683DC3F9" w14:textId="4A02321A" w:rsidR="00093119" w:rsidRPr="0045713D" w:rsidRDefault="00440896" w:rsidP="00A07E6E">
      <w:pPr>
        <w:autoSpaceDE w:val="0"/>
        <w:autoSpaceDN w:val="0"/>
        <w:adjustRightInd w:val="0"/>
        <w:jc w:val="both"/>
        <w:rPr>
          <w:rFonts w:ascii="Arial" w:hAnsi="Arial" w:cs="Arial"/>
          <w:i/>
          <w:sz w:val="22"/>
          <w:szCs w:val="22"/>
        </w:rPr>
      </w:pPr>
      <w:r w:rsidRPr="0045713D">
        <w:rPr>
          <w:rFonts w:ascii="Arial" w:hAnsi="Arial" w:cs="Arial"/>
          <w:sz w:val="22"/>
          <w:szCs w:val="22"/>
        </w:rPr>
        <w:t>Congruentemente, en la tercera</w:t>
      </w:r>
      <w:r w:rsidR="00B62B68" w:rsidRPr="0045713D">
        <w:rPr>
          <w:rFonts w:ascii="Arial" w:hAnsi="Arial" w:cs="Arial"/>
          <w:sz w:val="22"/>
          <w:szCs w:val="22"/>
        </w:rPr>
        <w:t xml:space="preserve"> conclusión</w:t>
      </w:r>
      <w:r w:rsidRPr="0045713D">
        <w:rPr>
          <w:rFonts w:ascii="Arial" w:hAnsi="Arial" w:cs="Arial"/>
          <w:sz w:val="22"/>
          <w:szCs w:val="22"/>
        </w:rPr>
        <w:t xml:space="preserve"> del I</w:t>
      </w:r>
      <w:r w:rsidR="00B62B68" w:rsidRPr="0045713D">
        <w:rPr>
          <w:rFonts w:ascii="Arial" w:hAnsi="Arial" w:cs="Arial"/>
          <w:sz w:val="22"/>
          <w:szCs w:val="22"/>
        </w:rPr>
        <w:t>nforme  2/2022, de 21 de febrero, de la Junta Consultiva de Contratación Administrativa de la Comunidad Autónoma de Aragón se dice</w:t>
      </w:r>
      <w:r w:rsidR="00B62B68" w:rsidRPr="0045713D">
        <w:rPr>
          <w:rFonts w:ascii="Arial" w:hAnsi="Arial" w:cs="Arial"/>
          <w:i/>
          <w:sz w:val="22"/>
          <w:szCs w:val="22"/>
        </w:rPr>
        <w:t xml:space="preserve"> “El artículo 242.4 ii de la LCSP permite de forma excepcional y muy delimitada la</w:t>
      </w:r>
      <w:r w:rsidR="00715EBA" w:rsidRPr="0045713D">
        <w:rPr>
          <w:rFonts w:ascii="Arial" w:hAnsi="Arial" w:cs="Arial"/>
          <w:i/>
          <w:sz w:val="22"/>
          <w:szCs w:val="22"/>
        </w:rPr>
        <w:t xml:space="preserve"> </w:t>
      </w:r>
      <w:r w:rsidR="00B62B68" w:rsidRPr="0045713D">
        <w:rPr>
          <w:rFonts w:ascii="Arial" w:hAnsi="Arial" w:cs="Arial"/>
          <w:i/>
          <w:sz w:val="22"/>
          <w:szCs w:val="22"/>
        </w:rPr>
        <w:t>posibilidad de incluir precios nuevos en el contrato que se está ejecutando sin suponer una modificación del mismo, a través de la figura del director facultativo de la obra, como forma de resolver problemas puntuales de ejecución ocasionados por pequeñas alteraciones en alguno de los precios de los materiales que componen alguna unidad de obra, pero literalmente no está permitiendo la introducción de una unidad de obra nueva completa, por lo que la excepción no puede tener una interpretación extensiva, y más cuando este supuesto es considerado por la norma como modificación contractual en el</w:t>
      </w:r>
      <w:r w:rsidR="00EA77D7" w:rsidRPr="0045713D">
        <w:rPr>
          <w:rFonts w:ascii="Arial" w:hAnsi="Arial" w:cs="Arial"/>
          <w:i/>
          <w:sz w:val="22"/>
          <w:szCs w:val="22"/>
        </w:rPr>
        <w:t xml:space="preserve"> </w:t>
      </w:r>
      <w:r w:rsidR="00B62B68" w:rsidRPr="0045713D">
        <w:rPr>
          <w:rFonts w:ascii="Arial" w:hAnsi="Arial" w:cs="Arial"/>
          <w:i/>
          <w:sz w:val="22"/>
          <w:szCs w:val="22"/>
        </w:rPr>
        <w:t>mismo artículo.”</w:t>
      </w:r>
    </w:p>
    <w:p w14:paraId="6A52A60C" w14:textId="77777777" w:rsidR="00463AC2" w:rsidRPr="0045713D" w:rsidRDefault="00463AC2" w:rsidP="00A07E6E">
      <w:pPr>
        <w:autoSpaceDE w:val="0"/>
        <w:autoSpaceDN w:val="0"/>
        <w:adjustRightInd w:val="0"/>
        <w:jc w:val="both"/>
        <w:rPr>
          <w:rFonts w:ascii="Arial" w:hAnsi="Arial" w:cs="Arial"/>
          <w:i/>
          <w:sz w:val="22"/>
          <w:szCs w:val="22"/>
        </w:rPr>
      </w:pPr>
    </w:p>
    <w:p w14:paraId="61BCBBD5" w14:textId="350A6A23" w:rsidR="005B0A7E" w:rsidRPr="0045713D" w:rsidRDefault="00C32A10" w:rsidP="00A07E6E">
      <w:pPr>
        <w:autoSpaceDE w:val="0"/>
        <w:autoSpaceDN w:val="0"/>
        <w:adjustRightInd w:val="0"/>
        <w:jc w:val="both"/>
        <w:rPr>
          <w:rFonts w:ascii="Arial" w:hAnsi="Arial" w:cs="Arial"/>
          <w:sz w:val="22"/>
          <w:szCs w:val="22"/>
        </w:rPr>
      </w:pPr>
      <w:r w:rsidRPr="0045713D">
        <w:rPr>
          <w:rFonts w:ascii="Arial" w:hAnsi="Arial" w:cs="Arial"/>
          <w:sz w:val="22"/>
          <w:szCs w:val="22"/>
        </w:rPr>
        <w:t xml:space="preserve">Como resumen de todo lo analizado hasta el momento cabe concluir que la correcta tramitación del expediente </w:t>
      </w:r>
      <w:r w:rsidR="00394305" w:rsidRPr="0045713D">
        <w:rPr>
          <w:rFonts w:ascii="Arial" w:hAnsi="Arial" w:cs="Arial"/>
          <w:sz w:val="22"/>
          <w:szCs w:val="22"/>
        </w:rPr>
        <w:t>implicaba, en su caso, la</w:t>
      </w:r>
      <w:r w:rsidR="00463AC2" w:rsidRPr="0045713D">
        <w:rPr>
          <w:rFonts w:ascii="Arial" w:hAnsi="Arial" w:cs="Arial"/>
          <w:sz w:val="22"/>
          <w:szCs w:val="22"/>
        </w:rPr>
        <w:t xml:space="preserve">  </w:t>
      </w:r>
      <w:r w:rsidR="00394305" w:rsidRPr="0045713D">
        <w:rPr>
          <w:rFonts w:ascii="Arial" w:hAnsi="Arial" w:cs="Arial"/>
          <w:sz w:val="22"/>
          <w:szCs w:val="22"/>
        </w:rPr>
        <w:t>aprobación, previa f</w:t>
      </w:r>
      <w:r w:rsidR="00463AC2" w:rsidRPr="0045713D">
        <w:rPr>
          <w:rFonts w:ascii="Arial" w:hAnsi="Arial" w:cs="Arial"/>
          <w:sz w:val="22"/>
          <w:szCs w:val="22"/>
        </w:rPr>
        <w:t>iscalización</w:t>
      </w:r>
      <w:r w:rsidR="00394305" w:rsidRPr="0045713D">
        <w:rPr>
          <w:rFonts w:ascii="Arial" w:hAnsi="Arial" w:cs="Arial"/>
          <w:sz w:val="22"/>
          <w:szCs w:val="22"/>
        </w:rPr>
        <w:t xml:space="preserve">, </w:t>
      </w:r>
      <w:r w:rsidR="00463AC2" w:rsidRPr="0045713D">
        <w:rPr>
          <w:rFonts w:ascii="Arial" w:hAnsi="Arial" w:cs="Arial"/>
          <w:sz w:val="22"/>
          <w:szCs w:val="22"/>
        </w:rPr>
        <w:t xml:space="preserve">de la correspondiente </w:t>
      </w:r>
      <w:r w:rsidR="00394305" w:rsidRPr="0045713D">
        <w:rPr>
          <w:rFonts w:ascii="Arial" w:hAnsi="Arial" w:cs="Arial"/>
          <w:sz w:val="22"/>
          <w:szCs w:val="22"/>
        </w:rPr>
        <w:t>modificación</w:t>
      </w:r>
      <w:r w:rsidR="00463AC2" w:rsidRPr="0045713D">
        <w:rPr>
          <w:rFonts w:ascii="Arial" w:hAnsi="Arial" w:cs="Arial"/>
          <w:sz w:val="22"/>
          <w:szCs w:val="22"/>
        </w:rPr>
        <w:t xml:space="preserve"> del contrato.</w:t>
      </w:r>
      <w:r w:rsidRPr="0045713D">
        <w:rPr>
          <w:rFonts w:ascii="Arial" w:hAnsi="Arial" w:cs="Arial"/>
          <w:sz w:val="22"/>
          <w:szCs w:val="22"/>
        </w:rPr>
        <w:t xml:space="preserve">  </w:t>
      </w:r>
    </w:p>
    <w:p w14:paraId="6B969BAD" w14:textId="77777777" w:rsidR="00E510B2" w:rsidRPr="0045713D" w:rsidRDefault="00E510B2" w:rsidP="00A07E6E">
      <w:pPr>
        <w:autoSpaceDE w:val="0"/>
        <w:autoSpaceDN w:val="0"/>
        <w:adjustRightInd w:val="0"/>
        <w:jc w:val="both"/>
        <w:rPr>
          <w:rFonts w:ascii="Arial" w:hAnsi="Arial" w:cs="Arial"/>
          <w:sz w:val="22"/>
          <w:szCs w:val="22"/>
        </w:rPr>
      </w:pPr>
    </w:p>
    <w:p w14:paraId="207ED184" w14:textId="00668260" w:rsidR="005B0A7E" w:rsidRPr="0045713D" w:rsidRDefault="005B0A7E" w:rsidP="00A07E6E">
      <w:pPr>
        <w:tabs>
          <w:tab w:val="left" w:pos="-1099"/>
          <w:tab w:val="left" w:pos="-720"/>
          <w:tab w:val="left" w:pos="0"/>
          <w:tab w:val="left" w:pos="720"/>
          <w:tab w:val="left" w:pos="1440"/>
          <w:tab w:val="left" w:pos="2160"/>
          <w:tab w:val="left" w:pos="2880"/>
          <w:tab w:val="left" w:pos="3600"/>
          <w:tab w:val="left" w:pos="4320"/>
          <w:tab w:val="left" w:pos="5040"/>
          <w:tab w:val="left" w:pos="5760"/>
          <w:tab w:val="decimal" w:pos="6780"/>
        </w:tabs>
        <w:ind w:right="-2"/>
        <w:jc w:val="both"/>
        <w:rPr>
          <w:rFonts w:ascii="Arial" w:eastAsia="Arial" w:hAnsi="Arial" w:cs="Arial"/>
          <w:sz w:val="22"/>
          <w:szCs w:val="22"/>
          <w:lang w:eastAsia="en-US"/>
        </w:rPr>
      </w:pPr>
      <w:r w:rsidRPr="0045713D">
        <w:rPr>
          <w:rFonts w:ascii="Arial" w:eastAsia="Arial" w:hAnsi="Arial" w:cs="Arial"/>
          <w:sz w:val="22"/>
          <w:szCs w:val="22"/>
          <w:lang w:eastAsia="en-US"/>
        </w:rPr>
        <w:t xml:space="preserve">De conformidad con las consideraciones efectuadas, esta Intervención General, </w:t>
      </w:r>
    </w:p>
    <w:p w14:paraId="77A459F0" w14:textId="77777777" w:rsidR="00A07E6E" w:rsidRPr="0045713D" w:rsidRDefault="00A07E6E" w:rsidP="00A07E6E">
      <w:pPr>
        <w:tabs>
          <w:tab w:val="left" w:pos="-1099"/>
          <w:tab w:val="left" w:pos="-720"/>
          <w:tab w:val="left" w:pos="0"/>
          <w:tab w:val="left" w:pos="720"/>
          <w:tab w:val="left" w:pos="1440"/>
          <w:tab w:val="left" w:pos="2160"/>
          <w:tab w:val="left" w:pos="2880"/>
          <w:tab w:val="left" w:pos="3600"/>
          <w:tab w:val="left" w:pos="4320"/>
          <w:tab w:val="left" w:pos="5040"/>
          <w:tab w:val="left" w:pos="5760"/>
          <w:tab w:val="decimal" w:pos="6780"/>
        </w:tabs>
        <w:ind w:right="-2"/>
        <w:jc w:val="both"/>
        <w:rPr>
          <w:rFonts w:ascii="Arial" w:eastAsia="Arial" w:hAnsi="Arial" w:cs="Arial"/>
          <w:b/>
          <w:sz w:val="22"/>
          <w:szCs w:val="22"/>
          <w:lang w:val="es-ES" w:eastAsia="en-US"/>
        </w:rPr>
      </w:pPr>
    </w:p>
    <w:p w14:paraId="3C388773" w14:textId="69DAFF38" w:rsidR="005B0A7E" w:rsidRPr="0045713D" w:rsidRDefault="005B0A7E" w:rsidP="00A07E6E">
      <w:pPr>
        <w:ind w:right="-2"/>
        <w:jc w:val="center"/>
        <w:rPr>
          <w:rFonts w:ascii="Arial" w:eastAsia="Arial" w:hAnsi="Arial" w:cs="Arial"/>
          <w:b/>
          <w:sz w:val="22"/>
          <w:szCs w:val="22"/>
          <w:lang w:val="es-ES" w:eastAsia="en-US"/>
        </w:rPr>
      </w:pPr>
      <w:r w:rsidRPr="0045713D">
        <w:rPr>
          <w:rFonts w:ascii="Arial" w:eastAsia="Arial" w:hAnsi="Arial" w:cs="Arial"/>
          <w:b/>
          <w:sz w:val="22"/>
          <w:szCs w:val="22"/>
          <w:lang w:val="es-ES" w:eastAsia="en-US"/>
        </w:rPr>
        <w:t>RESUELVE</w:t>
      </w:r>
    </w:p>
    <w:p w14:paraId="117DF81D" w14:textId="77777777" w:rsidR="00A07E6E" w:rsidRPr="0045713D" w:rsidRDefault="00A07E6E" w:rsidP="00A07E6E">
      <w:pPr>
        <w:ind w:right="-2"/>
        <w:jc w:val="center"/>
        <w:rPr>
          <w:rFonts w:ascii="Arial" w:eastAsia="Arial" w:hAnsi="Arial" w:cs="Arial"/>
          <w:b/>
          <w:sz w:val="22"/>
          <w:szCs w:val="22"/>
          <w:lang w:val="es-ES" w:eastAsia="en-US"/>
        </w:rPr>
      </w:pPr>
    </w:p>
    <w:p w14:paraId="5FB12017" w14:textId="77777777" w:rsidR="005B0A7E" w:rsidRPr="0045713D" w:rsidRDefault="005B0A7E" w:rsidP="00A07E6E">
      <w:pPr>
        <w:autoSpaceDE w:val="0"/>
        <w:autoSpaceDN w:val="0"/>
        <w:adjustRightInd w:val="0"/>
        <w:jc w:val="both"/>
        <w:rPr>
          <w:rFonts w:ascii="Arial" w:eastAsia="Arial" w:hAnsi="Arial" w:cs="Arial"/>
          <w:sz w:val="22"/>
          <w:szCs w:val="22"/>
          <w:lang w:val="es-ES" w:eastAsia="en-US"/>
        </w:rPr>
      </w:pPr>
      <w:r w:rsidRPr="0045713D">
        <w:rPr>
          <w:rFonts w:ascii="Arial" w:eastAsia="Arial" w:hAnsi="Arial" w:cs="Arial"/>
          <w:sz w:val="22"/>
          <w:szCs w:val="22"/>
          <w:lang w:val="es-ES" w:eastAsia="en-US"/>
        </w:rPr>
        <w:t>Ratificar, con los efectos previstos en el artículo 88.1.a) de la Ley 9/1990, de 8 de noviembre, reguladora de la Hacienda de la Comunidad de Madrid, el reparo formulado por la Intervención Delegada en la Consejería de Transportes e Infraestructuras, al expediente de gasto remitido por la unidad gestora a efectos de su fiscalización previa, OK/2021/0000472630</w:t>
      </w:r>
    </w:p>
    <w:p w14:paraId="2928FFFA" w14:textId="77777777" w:rsidR="005B0A7E" w:rsidRPr="0045713D" w:rsidRDefault="005B0A7E" w:rsidP="00A07E6E">
      <w:pPr>
        <w:autoSpaceDE w:val="0"/>
        <w:autoSpaceDN w:val="0"/>
        <w:adjustRightInd w:val="0"/>
        <w:jc w:val="both"/>
        <w:rPr>
          <w:rFonts w:ascii="Arial" w:eastAsia="Arial" w:hAnsi="Arial" w:cs="Arial"/>
          <w:sz w:val="22"/>
          <w:szCs w:val="22"/>
          <w:lang w:val="es-ES" w:eastAsia="en-US"/>
        </w:rPr>
      </w:pPr>
    </w:p>
    <w:p w14:paraId="24F0E9B2" w14:textId="1B78357F" w:rsidR="005B0A7E" w:rsidRPr="0045713D" w:rsidRDefault="005B0A7E" w:rsidP="00A07E6E">
      <w:pPr>
        <w:autoSpaceDE w:val="0"/>
        <w:autoSpaceDN w:val="0"/>
        <w:adjustRightInd w:val="0"/>
        <w:jc w:val="both"/>
        <w:rPr>
          <w:rFonts w:ascii="Arial" w:hAnsi="Arial" w:cs="Arial"/>
          <w:sz w:val="22"/>
          <w:szCs w:val="22"/>
        </w:rPr>
      </w:pPr>
      <w:r w:rsidRPr="0045713D">
        <w:rPr>
          <w:rFonts w:ascii="Arial" w:hAnsi="Arial" w:cs="Arial"/>
          <w:sz w:val="22"/>
          <w:szCs w:val="22"/>
        </w:rPr>
        <w:t xml:space="preserve">De no estar conforme con la presente resolución, de </w:t>
      </w:r>
      <w:r w:rsidR="0094497D" w:rsidRPr="0045713D">
        <w:rPr>
          <w:rFonts w:ascii="Arial" w:hAnsi="Arial" w:cs="Arial"/>
          <w:sz w:val="22"/>
          <w:szCs w:val="22"/>
        </w:rPr>
        <w:t>acuerdo</w:t>
      </w:r>
      <w:r w:rsidRPr="0045713D">
        <w:rPr>
          <w:rFonts w:ascii="Arial" w:hAnsi="Arial" w:cs="Arial"/>
          <w:sz w:val="22"/>
          <w:szCs w:val="22"/>
        </w:rPr>
        <w:t xml:space="preserve"> con lo dispuesto en el artículo 88.1.b) de la Ley 9/1990, de 8 de noviembre, Reguladora de la Hacienda de la Comunidad de Madrid, podrá elevarse discrepancia ante el Consejo de Gobierno, a quien corresponde la </w:t>
      </w:r>
      <w:r w:rsidR="00E510B2" w:rsidRPr="0045713D">
        <w:rPr>
          <w:rFonts w:ascii="Arial" w:hAnsi="Arial" w:cs="Arial"/>
          <w:sz w:val="22"/>
          <w:szCs w:val="22"/>
        </w:rPr>
        <w:t>r</w:t>
      </w:r>
      <w:r w:rsidRPr="0045713D">
        <w:rPr>
          <w:rFonts w:ascii="Arial" w:hAnsi="Arial" w:cs="Arial"/>
          <w:sz w:val="22"/>
          <w:szCs w:val="22"/>
        </w:rPr>
        <w:t>esolución definitiva.</w:t>
      </w:r>
    </w:p>
    <w:p w14:paraId="49421D44" w14:textId="77777777" w:rsidR="005B0A7E" w:rsidRPr="0045713D" w:rsidRDefault="005B0A7E" w:rsidP="00A07E6E">
      <w:pPr>
        <w:autoSpaceDE w:val="0"/>
        <w:autoSpaceDN w:val="0"/>
        <w:adjustRightInd w:val="0"/>
        <w:jc w:val="both"/>
        <w:rPr>
          <w:rFonts w:ascii="Arial" w:hAnsi="Arial" w:cs="Arial"/>
          <w:sz w:val="22"/>
          <w:szCs w:val="22"/>
        </w:rPr>
      </w:pPr>
    </w:p>
    <w:sectPr w:rsidR="005B0A7E" w:rsidRPr="0045713D" w:rsidSect="006D5A49">
      <w:headerReference w:type="default" r:id="rId8"/>
      <w:footerReference w:type="default" r:id="rId9"/>
      <w:pgSz w:w="11900" w:h="16840"/>
      <w:pgMar w:top="2211" w:right="1077" w:bottom="1843"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4404C" w14:textId="77777777" w:rsidR="007B5F18" w:rsidRDefault="007B5F18">
      <w:r>
        <w:separator/>
      </w:r>
    </w:p>
  </w:endnote>
  <w:endnote w:type="continuationSeparator" w:id="0">
    <w:p w14:paraId="61D143B2" w14:textId="77777777" w:rsidR="007B5F18" w:rsidRDefault="007B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586109"/>
      <w:docPartObj>
        <w:docPartGallery w:val="Page Numbers (Bottom of Page)"/>
        <w:docPartUnique/>
      </w:docPartObj>
    </w:sdtPr>
    <w:sdtEndPr>
      <w:rPr>
        <w:rFonts w:ascii="Arial" w:hAnsi="Arial" w:cs="Arial"/>
        <w:sz w:val="16"/>
        <w:szCs w:val="16"/>
      </w:rPr>
    </w:sdtEndPr>
    <w:sdtContent>
      <w:p w14:paraId="0F0FE285" w14:textId="4B4AF3D2" w:rsidR="00084DB4" w:rsidRPr="006F4BFE" w:rsidRDefault="00084DB4">
        <w:pPr>
          <w:pStyle w:val="Piedepgina"/>
          <w:jc w:val="center"/>
          <w:rPr>
            <w:rFonts w:ascii="Arial" w:hAnsi="Arial" w:cs="Arial"/>
            <w:sz w:val="16"/>
            <w:szCs w:val="16"/>
          </w:rPr>
        </w:pPr>
        <w:r w:rsidRPr="006F4BFE">
          <w:rPr>
            <w:rFonts w:ascii="Arial" w:hAnsi="Arial" w:cs="Arial"/>
            <w:sz w:val="16"/>
            <w:szCs w:val="16"/>
          </w:rPr>
          <w:fldChar w:fldCharType="begin"/>
        </w:r>
        <w:r w:rsidRPr="006F4BFE">
          <w:rPr>
            <w:rFonts w:ascii="Arial" w:hAnsi="Arial" w:cs="Arial"/>
            <w:sz w:val="16"/>
            <w:szCs w:val="16"/>
          </w:rPr>
          <w:instrText>PAGE   \* MERGEFORMAT</w:instrText>
        </w:r>
        <w:r w:rsidRPr="006F4BFE">
          <w:rPr>
            <w:rFonts w:ascii="Arial" w:hAnsi="Arial" w:cs="Arial"/>
            <w:sz w:val="16"/>
            <w:szCs w:val="16"/>
          </w:rPr>
          <w:fldChar w:fldCharType="separate"/>
        </w:r>
        <w:r w:rsidR="009B25A5" w:rsidRPr="009B25A5">
          <w:rPr>
            <w:rFonts w:ascii="Arial" w:hAnsi="Arial" w:cs="Arial"/>
            <w:noProof/>
            <w:sz w:val="16"/>
            <w:szCs w:val="16"/>
            <w:lang w:val="es-ES"/>
          </w:rPr>
          <w:t>9</w:t>
        </w:r>
        <w:r w:rsidRPr="006F4BFE">
          <w:rPr>
            <w:rFonts w:ascii="Arial" w:hAnsi="Arial" w:cs="Arial"/>
            <w:sz w:val="16"/>
            <w:szCs w:val="16"/>
          </w:rPr>
          <w:fldChar w:fldCharType="end"/>
        </w:r>
      </w:p>
    </w:sdtContent>
  </w:sdt>
  <w:p w14:paraId="6F71D112" w14:textId="77777777" w:rsidR="00084DB4" w:rsidRDefault="00084D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0CA9D" w14:textId="77777777" w:rsidR="007B5F18" w:rsidRDefault="007B5F18">
      <w:r>
        <w:separator/>
      </w:r>
    </w:p>
  </w:footnote>
  <w:footnote w:type="continuationSeparator" w:id="0">
    <w:p w14:paraId="4735249B" w14:textId="77777777" w:rsidR="007B5F18" w:rsidRDefault="007B5F18">
      <w:r>
        <w:continuationSeparator/>
      </w:r>
    </w:p>
  </w:footnote>
  <w:footnote w:id="1">
    <w:p w14:paraId="1977D005" w14:textId="77777777" w:rsidR="00C84C86" w:rsidRPr="00A07E6E" w:rsidRDefault="00C84C86" w:rsidP="00A07E6E">
      <w:pPr>
        <w:pStyle w:val="Textonotapie"/>
        <w:spacing w:after="0" w:line="240" w:lineRule="auto"/>
        <w:jc w:val="both"/>
        <w:rPr>
          <w:sz w:val="18"/>
          <w:szCs w:val="18"/>
        </w:rPr>
      </w:pPr>
      <w:r w:rsidRPr="00A07E6E">
        <w:rPr>
          <w:rStyle w:val="Refdenotaalpie"/>
          <w:sz w:val="18"/>
          <w:szCs w:val="18"/>
        </w:rPr>
        <w:footnoteRef/>
      </w:r>
      <w:r w:rsidRPr="00A07E6E">
        <w:rPr>
          <w:sz w:val="18"/>
          <w:szCs w:val="18"/>
        </w:rPr>
        <w:t xml:space="preserve"> En su Sentencia 3629/2001, de 3 de mayo dice “…</w:t>
      </w:r>
      <w:r w:rsidRPr="00A07E6E">
        <w:rPr>
          <w:i/>
          <w:sz w:val="18"/>
          <w:szCs w:val="18"/>
        </w:rPr>
        <w:t>existe un principio general de inalterabilidad de los contratos, salvo las excepciones admitidas que son, eso, excepciones a un régimen general de mantenimiento de las condiciones establecidas en los correspondientes Pliegos, y que, en cuanto tales, exigen una interpretación restrictiva cuyas únicas salvedades vienen constituidas porque hayan sido inicialmente previstas o porque ocasionen una ruptura del equilibrio</w:t>
      </w:r>
      <w:r w:rsidR="00EE3C16" w:rsidRPr="00A07E6E">
        <w:rPr>
          <w:i/>
          <w:sz w:val="18"/>
          <w:szCs w:val="18"/>
        </w:rPr>
        <w:t xml:space="preserve"> </w:t>
      </w:r>
      <w:r w:rsidRPr="00A07E6E">
        <w:rPr>
          <w:i/>
          <w:sz w:val="18"/>
          <w:szCs w:val="18"/>
        </w:rPr>
        <w:t>económico financiero claramente acreditada o porque resulte evidentemente producida por la superveniencia</w:t>
      </w:r>
      <w:r w:rsidR="00EE3C16" w:rsidRPr="00A07E6E">
        <w:rPr>
          <w:i/>
          <w:sz w:val="18"/>
          <w:szCs w:val="18"/>
        </w:rPr>
        <w:t xml:space="preserve"> </w:t>
      </w:r>
      <w:r w:rsidRPr="00A07E6E">
        <w:rPr>
          <w:i/>
          <w:sz w:val="18"/>
          <w:szCs w:val="18"/>
        </w:rPr>
        <w:t>de hech</w:t>
      </w:r>
      <w:r w:rsidR="00EE3C16" w:rsidRPr="00A07E6E">
        <w:rPr>
          <w:i/>
          <w:sz w:val="18"/>
          <w:szCs w:val="18"/>
        </w:rPr>
        <w:t>os que alteren dicho equilibrio”</w:t>
      </w:r>
    </w:p>
  </w:footnote>
  <w:footnote w:id="2">
    <w:p w14:paraId="138C5074" w14:textId="3B4B76C9" w:rsidR="00607F59" w:rsidRDefault="00607F59" w:rsidP="00A07E6E">
      <w:pPr>
        <w:pStyle w:val="Textonotapie"/>
        <w:spacing w:after="0" w:line="240" w:lineRule="auto"/>
        <w:jc w:val="both"/>
      </w:pPr>
      <w:r w:rsidRPr="00A07E6E">
        <w:rPr>
          <w:rStyle w:val="Refdenotaalpie"/>
          <w:sz w:val="18"/>
          <w:szCs w:val="18"/>
        </w:rPr>
        <w:footnoteRef/>
      </w:r>
      <w:r w:rsidRPr="00A07E6E">
        <w:rPr>
          <w:sz w:val="18"/>
          <w:szCs w:val="18"/>
        </w:rPr>
        <w:t xml:space="preserve"> En la reciente Sentencia del Tribunal Supremo 316/2022 de 28 de enero, se dice</w:t>
      </w:r>
      <w:r w:rsidRPr="00A07E6E">
        <w:rPr>
          <w:i/>
          <w:sz w:val="18"/>
          <w:szCs w:val="18"/>
        </w:rPr>
        <w:t>”…es jurisprudencia constante de este Tribunal -por ejemplo, Sentencia de 18 junio 1985- que la inalterabilidad de los contratos administrativos no puede conducir a un "enriquecimiento" de la Administración y en perjuicio del contratista…No se trata en este caso de que la Concesionaria recupere una inversión realizada y no amortizada, sino que la Administración debe el importe de dichas obras a la Concesionaria, sobre la base de evitar un enriquecimiento injusto. Téngase en cuenta que en el caso de las concesiones que obtuvieron un Real Decreto de reequilibrio, las obras adicionales a que se refería dicha modificación se iban a compensar sin amortización</w:t>
      </w:r>
      <w:r w:rsidRPr="002B563E">
        <w:rPr>
          <w:i/>
          <w:sz w:val="18"/>
          <w:szCs w:val="18"/>
        </w:rPr>
        <w:t>…”</w:t>
      </w:r>
      <w:r w:rsidR="00507845">
        <w:rPr>
          <w:i/>
        </w:rPr>
        <w:t xml:space="preserve"> </w:t>
      </w:r>
    </w:p>
  </w:footnote>
  <w:footnote w:id="3">
    <w:p w14:paraId="473FE436" w14:textId="77777777" w:rsidR="00D24361" w:rsidRPr="00A07E6E" w:rsidRDefault="00D24361" w:rsidP="00A07E6E">
      <w:pPr>
        <w:pStyle w:val="Textonotapie"/>
        <w:spacing w:after="0" w:line="240" w:lineRule="auto"/>
        <w:jc w:val="both"/>
        <w:rPr>
          <w:sz w:val="18"/>
          <w:szCs w:val="18"/>
        </w:rPr>
      </w:pPr>
      <w:r w:rsidRPr="00A07E6E">
        <w:rPr>
          <w:rStyle w:val="Refdenotaalpie"/>
          <w:sz w:val="18"/>
          <w:szCs w:val="18"/>
        </w:rPr>
        <w:footnoteRef/>
      </w:r>
      <w:r w:rsidRPr="00A07E6E">
        <w:rPr>
          <w:sz w:val="18"/>
          <w:szCs w:val="18"/>
        </w:rPr>
        <w:t xml:space="preserve"> </w:t>
      </w:r>
      <w:r w:rsidR="00AE66E5" w:rsidRPr="00A07E6E">
        <w:rPr>
          <w:sz w:val="18"/>
          <w:szCs w:val="18"/>
        </w:rPr>
        <w:t xml:space="preserve">En su informe 85/18 la </w:t>
      </w:r>
      <w:proofErr w:type="spellStart"/>
      <w:r w:rsidR="00AE66E5" w:rsidRPr="00A07E6E">
        <w:rPr>
          <w:sz w:val="18"/>
          <w:szCs w:val="18"/>
        </w:rPr>
        <w:t>JCCAE</w:t>
      </w:r>
      <w:proofErr w:type="spellEnd"/>
      <w:r w:rsidR="00AE66E5" w:rsidRPr="00A07E6E">
        <w:rPr>
          <w:sz w:val="18"/>
          <w:szCs w:val="18"/>
        </w:rPr>
        <w:t xml:space="preserve"> dice</w:t>
      </w:r>
      <w:r w:rsidR="00AE66E5" w:rsidRPr="00A07E6E">
        <w:rPr>
          <w:i/>
          <w:sz w:val="18"/>
          <w:szCs w:val="18"/>
        </w:rPr>
        <w:t xml:space="preserve"> “La redacción que ofrece la LCSP en el artículo 242.4 i) tiene un contenido similar a la del artículo 160 del Reglamento a estos efectos e, incluso, bien puede decirse que recoge los pronunciamientos de esta Junta al respecto cuando alude a una variación en global de las unidades ejecutadas sobre las previstas, o cuando habla expresamente de “exceso de mediciones”, tal </w:t>
      </w:r>
      <w:r w:rsidR="00930196" w:rsidRPr="00A07E6E">
        <w:rPr>
          <w:i/>
          <w:sz w:val="18"/>
          <w:szCs w:val="18"/>
        </w:rPr>
        <w:t>c</w:t>
      </w:r>
      <w:r w:rsidR="00AE66E5" w:rsidRPr="00A07E6E">
        <w:rPr>
          <w:i/>
          <w:sz w:val="18"/>
          <w:szCs w:val="18"/>
        </w:rPr>
        <w:t>omo ya hacíamos en nuestro informe del año 2006. Por lo tanto, es comprensible que la interpretación del precepto haya de ser la misma.”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B9B7C" w14:textId="4E7CEAF3" w:rsidR="00084DB4" w:rsidRDefault="00084DB4" w:rsidP="008F7650">
    <w:pPr>
      <w:pStyle w:val="Encabezado"/>
      <w:tabs>
        <w:tab w:val="clear" w:pos="4252"/>
        <w:tab w:val="clear" w:pos="8504"/>
        <w:tab w:val="left" w:pos="312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6D4A"/>
    <w:multiLevelType w:val="hybridMultilevel"/>
    <w:tmpl w:val="B9D0D28C"/>
    <w:lvl w:ilvl="0" w:tplc="39E4536C">
      <w:start w:val="3"/>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981992"/>
    <w:multiLevelType w:val="hybridMultilevel"/>
    <w:tmpl w:val="57FAA2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F46346"/>
    <w:multiLevelType w:val="hybridMultilevel"/>
    <w:tmpl w:val="9F68FF4C"/>
    <w:lvl w:ilvl="0" w:tplc="0C0A0019">
      <w:start w:val="1"/>
      <w:numFmt w:val="lowerLetter"/>
      <w:lvlText w:val="%1."/>
      <w:lvlJc w:val="left"/>
      <w:pPr>
        <w:ind w:left="720" w:hanging="360"/>
      </w:pPr>
    </w:lvl>
    <w:lvl w:ilvl="1" w:tplc="EA0A0A92">
      <w:start w:val="1"/>
      <w:numFmt w:val="lowerLetter"/>
      <w:lvlText w:val="%2."/>
      <w:lvlJc w:val="left"/>
      <w:pPr>
        <w:ind w:left="786" w:hanging="360"/>
      </w:pPr>
      <w:rPr>
        <w:b w:val="0"/>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A0766E"/>
    <w:multiLevelType w:val="hybridMultilevel"/>
    <w:tmpl w:val="BC768F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F81A7D"/>
    <w:multiLevelType w:val="hybridMultilevel"/>
    <w:tmpl w:val="E1DEC7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B34231"/>
    <w:multiLevelType w:val="hybridMultilevel"/>
    <w:tmpl w:val="3C2014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95F7F"/>
    <w:multiLevelType w:val="hybridMultilevel"/>
    <w:tmpl w:val="A894CB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FE128F"/>
    <w:multiLevelType w:val="hybridMultilevel"/>
    <w:tmpl w:val="938AB936"/>
    <w:lvl w:ilvl="0" w:tplc="F9DAE3F8">
      <w:start w:val="1"/>
      <w:numFmt w:val="decimal"/>
      <w:lvlText w:val="%1."/>
      <w:lvlJc w:val="left"/>
      <w:pPr>
        <w:ind w:left="720" w:hanging="360"/>
      </w:pPr>
      <w:rPr>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C01F1A"/>
    <w:multiLevelType w:val="hybridMultilevel"/>
    <w:tmpl w:val="C124FFAE"/>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35640EB8"/>
    <w:multiLevelType w:val="hybridMultilevel"/>
    <w:tmpl w:val="BD5875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FB593D"/>
    <w:multiLevelType w:val="hybridMultilevel"/>
    <w:tmpl w:val="C7582462"/>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BD052AF"/>
    <w:multiLevelType w:val="hybridMultilevel"/>
    <w:tmpl w:val="8D08E74E"/>
    <w:lvl w:ilvl="0" w:tplc="31F262E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7FA7D62"/>
    <w:multiLevelType w:val="hybridMultilevel"/>
    <w:tmpl w:val="C5FE55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FD3ED2"/>
    <w:multiLevelType w:val="hybridMultilevel"/>
    <w:tmpl w:val="285A54D0"/>
    <w:lvl w:ilvl="0" w:tplc="9A16D6E2">
      <w:start w:val="1"/>
      <w:numFmt w:val="decimal"/>
      <w:lvlText w:val="%1."/>
      <w:lvlJc w:val="left"/>
      <w:pPr>
        <w:ind w:left="1095" w:hanging="375"/>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4BE2662B"/>
    <w:multiLevelType w:val="hybridMultilevel"/>
    <w:tmpl w:val="6C2A0F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FFA716D"/>
    <w:multiLevelType w:val="hybridMultilevel"/>
    <w:tmpl w:val="8710FE7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54C55D3F"/>
    <w:multiLevelType w:val="multilevel"/>
    <w:tmpl w:val="C4ACA602"/>
    <w:lvl w:ilvl="0">
      <w:start w:val="1"/>
      <w:numFmt w:val="upperLetter"/>
      <w:lvlText w:val="%1"/>
      <w:lvlJc w:val="left"/>
      <w:pPr>
        <w:ind w:left="36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1">
      <w:start w:val="18"/>
      <w:numFmt w:val="decimal"/>
      <w:lvlRestart w:val="0"/>
      <w:lvlText w:val="%1.%2"/>
      <w:lvlJc w:val="left"/>
      <w:pPr>
        <w:ind w:left="9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abstractNum>
  <w:abstractNum w:abstractNumId="17" w15:restartNumberingAfterBreak="0">
    <w:nsid w:val="54D778F8"/>
    <w:multiLevelType w:val="hybridMultilevel"/>
    <w:tmpl w:val="18A49DC0"/>
    <w:lvl w:ilvl="0" w:tplc="4AA87840">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86A268A"/>
    <w:multiLevelType w:val="hybridMultilevel"/>
    <w:tmpl w:val="81CE59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C1E2E4B"/>
    <w:multiLevelType w:val="hybridMultilevel"/>
    <w:tmpl w:val="8A5C8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D3E6ADF"/>
    <w:multiLevelType w:val="hybridMultilevel"/>
    <w:tmpl w:val="946EB2CE"/>
    <w:lvl w:ilvl="0" w:tplc="BB74CD0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60711D2C"/>
    <w:multiLevelType w:val="hybridMultilevel"/>
    <w:tmpl w:val="B9CEC84E"/>
    <w:lvl w:ilvl="0" w:tplc="DD2EDDC0">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7934A8E"/>
    <w:multiLevelType w:val="hybridMultilevel"/>
    <w:tmpl w:val="B6A427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236EF4"/>
    <w:multiLevelType w:val="hybridMultilevel"/>
    <w:tmpl w:val="9516046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770B24F4"/>
    <w:multiLevelType w:val="hybridMultilevel"/>
    <w:tmpl w:val="DC181C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8B04D03"/>
    <w:multiLevelType w:val="hybridMultilevel"/>
    <w:tmpl w:val="A7667C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9823690"/>
    <w:multiLevelType w:val="hybridMultilevel"/>
    <w:tmpl w:val="DD1027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AC47E46"/>
    <w:multiLevelType w:val="hybridMultilevel"/>
    <w:tmpl w:val="26529E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BE96602"/>
    <w:multiLevelType w:val="hybridMultilevel"/>
    <w:tmpl w:val="6CB25174"/>
    <w:lvl w:ilvl="0" w:tplc="6090CB1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27"/>
  </w:num>
  <w:num w:numId="3">
    <w:abstractNumId w:val="14"/>
  </w:num>
  <w:num w:numId="4">
    <w:abstractNumId w:val="3"/>
  </w:num>
  <w:num w:numId="5">
    <w:abstractNumId w:val="5"/>
  </w:num>
  <w:num w:numId="6">
    <w:abstractNumId w:val="8"/>
  </w:num>
  <w:num w:numId="7">
    <w:abstractNumId w:val="19"/>
  </w:num>
  <w:num w:numId="8">
    <w:abstractNumId w:val="15"/>
  </w:num>
  <w:num w:numId="9">
    <w:abstractNumId w:val="9"/>
  </w:num>
  <w:num w:numId="10">
    <w:abstractNumId w:val="16"/>
  </w:num>
  <w:num w:numId="11">
    <w:abstractNumId w:val="26"/>
  </w:num>
  <w:num w:numId="12">
    <w:abstractNumId w:val="12"/>
  </w:num>
  <w:num w:numId="13">
    <w:abstractNumId w:val="1"/>
  </w:num>
  <w:num w:numId="14">
    <w:abstractNumId w:val="24"/>
  </w:num>
  <w:num w:numId="15">
    <w:abstractNumId w:val="25"/>
  </w:num>
  <w:num w:numId="16">
    <w:abstractNumId w:val="13"/>
  </w:num>
  <w:num w:numId="17">
    <w:abstractNumId w:val="17"/>
  </w:num>
  <w:num w:numId="18">
    <w:abstractNumId w:val="2"/>
  </w:num>
  <w:num w:numId="19">
    <w:abstractNumId w:val="6"/>
  </w:num>
  <w:num w:numId="20">
    <w:abstractNumId w:val="7"/>
  </w:num>
  <w:num w:numId="21">
    <w:abstractNumId w:val="4"/>
  </w:num>
  <w:num w:numId="22">
    <w:abstractNumId w:val="28"/>
  </w:num>
  <w:num w:numId="23">
    <w:abstractNumId w:val="22"/>
  </w:num>
  <w:num w:numId="24">
    <w:abstractNumId w:val="10"/>
  </w:num>
  <w:num w:numId="25">
    <w:abstractNumId w:val="0"/>
  </w:num>
  <w:num w:numId="26">
    <w:abstractNumId w:val="20"/>
  </w:num>
  <w:num w:numId="27">
    <w:abstractNumId w:val="11"/>
  </w:num>
  <w:num w:numId="28">
    <w:abstractNumId w:val="1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35"/>
    <w:rsid w:val="00004004"/>
    <w:rsid w:val="0002437C"/>
    <w:rsid w:val="000275A8"/>
    <w:rsid w:val="00054C06"/>
    <w:rsid w:val="000813C9"/>
    <w:rsid w:val="00084DB4"/>
    <w:rsid w:val="00093119"/>
    <w:rsid w:val="000B123E"/>
    <w:rsid w:val="000C14D7"/>
    <w:rsid w:val="001441C4"/>
    <w:rsid w:val="00172635"/>
    <w:rsid w:val="001861DE"/>
    <w:rsid w:val="001D4AE1"/>
    <w:rsid w:val="0021121F"/>
    <w:rsid w:val="00212F53"/>
    <w:rsid w:val="00216787"/>
    <w:rsid w:val="00216D56"/>
    <w:rsid w:val="00222A06"/>
    <w:rsid w:val="002265B9"/>
    <w:rsid w:val="0023469E"/>
    <w:rsid w:val="00247620"/>
    <w:rsid w:val="0027078F"/>
    <w:rsid w:val="00272D42"/>
    <w:rsid w:val="002732D1"/>
    <w:rsid w:val="00275F29"/>
    <w:rsid w:val="002B563E"/>
    <w:rsid w:val="002D5EDA"/>
    <w:rsid w:val="002E13BC"/>
    <w:rsid w:val="003000C0"/>
    <w:rsid w:val="003021B4"/>
    <w:rsid w:val="003052D9"/>
    <w:rsid w:val="00306115"/>
    <w:rsid w:val="00312F75"/>
    <w:rsid w:val="00333AEF"/>
    <w:rsid w:val="0036516B"/>
    <w:rsid w:val="00373774"/>
    <w:rsid w:val="00373FE2"/>
    <w:rsid w:val="00394305"/>
    <w:rsid w:val="003A3387"/>
    <w:rsid w:val="003D5E11"/>
    <w:rsid w:val="00411260"/>
    <w:rsid w:val="00412A3D"/>
    <w:rsid w:val="00422AD6"/>
    <w:rsid w:val="00440896"/>
    <w:rsid w:val="0045713D"/>
    <w:rsid w:val="00463AC2"/>
    <w:rsid w:val="004757DF"/>
    <w:rsid w:val="004C2F0F"/>
    <w:rsid w:val="004F71CD"/>
    <w:rsid w:val="004F746F"/>
    <w:rsid w:val="00507845"/>
    <w:rsid w:val="0051537E"/>
    <w:rsid w:val="00522B21"/>
    <w:rsid w:val="00543BEA"/>
    <w:rsid w:val="00553126"/>
    <w:rsid w:val="00553D76"/>
    <w:rsid w:val="0055408C"/>
    <w:rsid w:val="00555B85"/>
    <w:rsid w:val="00567C61"/>
    <w:rsid w:val="0057008C"/>
    <w:rsid w:val="00593E00"/>
    <w:rsid w:val="005A6BD7"/>
    <w:rsid w:val="005B0A7E"/>
    <w:rsid w:val="005B2BFF"/>
    <w:rsid w:val="005F3406"/>
    <w:rsid w:val="00607F59"/>
    <w:rsid w:val="006128C2"/>
    <w:rsid w:val="0061381D"/>
    <w:rsid w:val="0062654C"/>
    <w:rsid w:val="00627556"/>
    <w:rsid w:val="0063159B"/>
    <w:rsid w:val="0064223A"/>
    <w:rsid w:val="0064429A"/>
    <w:rsid w:val="00645863"/>
    <w:rsid w:val="00645C81"/>
    <w:rsid w:val="00650BB4"/>
    <w:rsid w:val="00654ABF"/>
    <w:rsid w:val="00660B88"/>
    <w:rsid w:val="006716D6"/>
    <w:rsid w:val="006834BD"/>
    <w:rsid w:val="00683E31"/>
    <w:rsid w:val="006D01F1"/>
    <w:rsid w:val="006D26DB"/>
    <w:rsid w:val="006D316C"/>
    <w:rsid w:val="006D5A49"/>
    <w:rsid w:val="006D662B"/>
    <w:rsid w:val="006D6FF7"/>
    <w:rsid w:val="006D73D4"/>
    <w:rsid w:val="006E4419"/>
    <w:rsid w:val="006E614A"/>
    <w:rsid w:val="006E7230"/>
    <w:rsid w:val="006E7834"/>
    <w:rsid w:val="006F4BFE"/>
    <w:rsid w:val="0071498E"/>
    <w:rsid w:val="00715EBA"/>
    <w:rsid w:val="007221B5"/>
    <w:rsid w:val="00733616"/>
    <w:rsid w:val="00740067"/>
    <w:rsid w:val="007575AC"/>
    <w:rsid w:val="00761806"/>
    <w:rsid w:val="00764EAA"/>
    <w:rsid w:val="007B5F18"/>
    <w:rsid w:val="007E21E1"/>
    <w:rsid w:val="00800A42"/>
    <w:rsid w:val="0080157A"/>
    <w:rsid w:val="0080301E"/>
    <w:rsid w:val="0080656A"/>
    <w:rsid w:val="00806F63"/>
    <w:rsid w:val="008264CB"/>
    <w:rsid w:val="00844BBA"/>
    <w:rsid w:val="00875D7E"/>
    <w:rsid w:val="00877508"/>
    <w:rsid w:val="008B27D3"/>
    <w:rsid w:val="008C701C"/>
    <w:rsid w:val="008E4753"/>
    <w:rsid w:val="008E6D54"/>
    <w:rsid w:val="008F7650"/>
    <w:rsid w:val="00905C91"/>
    <w:rsid w:val="00910D28"/>
    <w:rsid w:val="00930196"/>
    <w:rsid w:val="00935ACF"/>
    <w:rsid w:val="00936845"/>
    <w:rsid w:val="00937098"/>
    <w:rsid w:val="00941B87"/>
    <w:rsid w:val="0094497D"/>
    <w:rsid w:val="0095053B"/>
    <w:rsid w:val="00965748"/>
    <w:rsid w:val="00973008"/>
    <w:rsid w:val="00983A0A"/>
    <w:rsid w:val="00984645"/>
    <w:rsid w:val="00993A76"/>
    <w:rsid w:val="00997F93"/>
    <w:rsid w:val="009A1B81"/>
    <w:rsid w:val="009B1409"/>
    <w:rsid w:val="009B25A5"/>
    <w:rsid w:val="009B34C2"/>
    <w:rsid w:val="009F666E"/>
    <w:rsid w:val="00A03CC1"/>
    <w:rsid w:val="00A07E6E"/>
    <w:rsid w:val="00A11819"/>
    <w:rsid w:val="00A40582"/>
    <w:rsid w:val="00A50A6E"/>
    <w:rsid w:val="00A564C5"/>
    <w:rsid w:val="00A62F30"/>
    <w:rsid w:val="00A66F33"/>
    <w:rsid w:val="00A76B16"/>
    <w:rsid w:val="00A968F9"/>
    <w:rsid w:val="00AB127D"/>
    <w:rsid w:val="00AC0B87"/>
    <w:rsid w:val="00AD44DC"/>
    <w:rsid w:val="00AD60F3"/>
    <w:rsid w:val="00AE66E5"/>
    <w:rsid w:val="00B0046D"/>
    <w:rsid w:val="00B0753D"/>
    <w:rsid w:val="00B11924"/>
    <w:rsid w:val="00B14C7C"/>
    <w:rsid w:val="00B14EDA"/>
    <w:rsid w:val="00B30251"/>
    <w:rsid w:val="00B30311"/>
    <w:rsid w:val="00B34E9A"/>
    <w:rsid w:val="00B36A18"/>
    <w:rsid w:val="00B54911"/>
    <w:rsid w:val="00B62B68"/>
    <w:rsid w:val="00B66F88"/>
    <w:rsid w:val="00B67B49"/>
    <w:rsid w:val="00B74723"/>
    <w:rsid w:val="00BB20D5"/>
    <w:rsid w:val="00BD4A24"/>
    <w:rsid w:val="00BD6898"/>
    <w:rsid w:val="00C1117A"/>
    <w:rsid w:val="00C2002F"/>
    <w:rsid w:val="00C32A10"/>
    <w:rsid w:val="00C333C9"/>
    <w:rsid w:val="00C70040"/>
    <w:rsid w:val="00C84C86"/>
    <w:rsid w:val="00CB25A7"/>
    <w:rsid w:val="00CE4DE4"/>
    <w:rsid w:val="00D01176"/>
    <w:rsid w:val="00D02844"/>
    <w:rsid w:val="00D13F0C"/>
    <w:rsid w:val="00D24361"/>
    <w:rsid w:val="00D30FF0"/>
    <w:rsid w:val="00D416B3"/>
    <w:rsid w:val="00D50ED6"/>
    <w:rsid w:val="00D5141B"/>
    <w:rsid w:val="00D51C14"/>
    <w:rsid w:val="00D5674B"/>
    <w:rsid w:val="00D57438"/>
    <w:rsid w:val="00D77120"/>
    <w:rsid w:val="00D91C8D"/>
    <w:rsid w:val="00DA601E"/>
    <w:rsid w:val="00DB196A"/>
    <w:rsid w:val="00DC35A7"/>
    <w:rsid w:val="00DC7014"/>
    <w:rsid w:val="00E1417A"/>
    <w:rsid w:val="00E22985"/>
    <w:rsid w:val="00E26724"/>
    <w:rsid w:val="00E30852"/>
    <w:rsid w:val="00E324C6"/>
    <w:rsid w:val="00E40F18"/>
    <w:rsid w:val="00E44AEA"/>
    <w:rsid w:val="00E4604F"/>
    <w:rsid w:val="00E510B2"/>
    <w:rsid w:val="00E55E31"/>
    <w:rsid w:val="00E71F15"/>
    <w:rsid w:val="00E800D7"/>
    <w:rsid w:val="00E904CC"/>
    <w:rsid w:val="00E934AB"/>
    <w:rsid w:val="00EA5F3F"/>
    <w:rsid w:val="00EA77D7"/>
    <w:rsid w:val="00EC40B3"/>
    <w:rsid w:val="00ED6D11"/>
    <w:rsid w:val="00EE35AA"/>
    <w:rsid w:val="00EE3C16"/>
    <w:rsid w:val="00F03613"/>
    <w:rsid w:val="00F35CCE"/>
    <w:rsid w:val="00F44D5E"/>
    <w:rsid w:val="00F711A4"/>
    <w:rsid w:val="00F72832"/>
    <w:rsid w:val="00F72D40"/>
    <w:rsid w:val="00F75658"/>
    <w:rsid w:val="00FA1E4A"/>
    <w:rsid w:val="00FB710C"/>
    <w:rsid w:val="00FB71A8"/>
    <w:rsid w:val="00FC6791"/>
    <w:rsid w:val="00FD27B4"/>
    <w:rsid w:val="00FF70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D47D6FB"/>
  <w15:chartTrackingRefBased/>
  <w15:docId w15:val="{65D13734-A304-4641-98F8-7B8B6BB0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3">
    <w:name w:val="heading 3"/>
    <w:basedOn w:val="Normal"/>
    <w:next w:val="Normal"/>
    <w:link w:val="Ttulo3Car"/>
    <w:uiPriority w:val="9"/>
    <w:unhideWhenUsed/>
    <w:qFormat/>
    <w:rsid w:val="006F4BFE"/>
    <w:pPr>
      <w:keepNext/>
      <w:spacing w:before="240" w:after="60" w:line="276" w:lineRule="auto"/>
      <w:outlineLvl w:val="2"/>
    </w:pPr>
    <w:rPr>
      <w:rFonts w:ascii="Calibri Light" w:hAnsi="Calibri Light"/>
      <w:b/>
      <w:bCs/>
      <w:sz w:val="26"/>
      <w:szCs w:val="26"/>
      <w:lang w:val="es-ES" w:eastAsia="en-US"/>
    </w:rPr>
  </w:style>
  <w:style w:type="paragraph" w:styleId="Ttulo5">
    <w:name w:val="heading 5"/>
    <w:basedOn w:val="Normal"/>
    <w:next w:val="Normal"/>
    <w:link w:val="Ttulo5Car"/>
    <w:uiPriority w:val="9"/>
    <w:semiHidden/>
    <w:unhideWhenUsed/>
    <w:qFormat/>
    <w:rsid w:val="006F4BFE"/>
    <w:pPr>
      <w:spacing w:before="240" w:after="60" w:line="276" w:lineRule="auto"/>
      <w:outlineLvl w:val="4"/>
    </w:pPr>
    <w:rPr>
      <w:rFonts w:ascii="Calibri" w:hAnsi="Calibri"/>
      <w:b/>
      <w:bCs/>
      <w:i/>
      <w:iCs/>
      <w:sz w:val="26"/>
      <w:szCs w:val="2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766B8"/>
    <w:pPr>
      <w:tabs>
        <w:tab w:val="center" w:pos="4252"/>
        <w:tab w:val="right" w:pos="8504"/>
      </w:tabs>
    </w:pPr>
  </w:style>
  <w:style w:type="paragraph" w:styleId="Piedepgina">
    <w:name w:val="footer"/>
    <w:basedOn w:val="Normal"/>
    <w:link w:val="PiedepginaCar"/>
    <w:uiPriority w:val="99"/>
    <w:rsid w:val="005766B8"/>
    <w:pPr>
      <w:tabs>
        <w:tab w:val="center" w:pos="4252"/>
        <w:tab w:val="right" w:pos="8504"/>
      </w:tabs>
    </w:pPr>
  </w:style>
  <w:style w:type="paragraph" w:styleId="Textodeglobo">
    <w:name w:val="Balloon Text"/>
    <w:basedOn w:val="Normal"/>
    <w:link w:val="TextodegloboCar"/>
    <w:uiPriority w:val="99"/>
    <w:semiHidden/>
    <w:unhideWhenUsed/>
    <w:rsid w:val="00DC70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7014"/>
    <w:rPr>
      <w:rFonts w:ascii="Segoe UI" w:hAnsi="Segoe UI" w:cs="Segoe UI"/>
      <w:sz w:val="18"/>
      <w:szCs w:val="18"/>
      <w:lang w:val="es-ES_tradnl" w:eastAsia="es-ES_tradnl"/>
    </w:rPr>
  </w:style>
  <w:style w:type="character" w:customStyle="1" w:styleId="Ttulo3Car">
    <w:name w:val="Título 3 Car"/>
    <w:basedOn w:val="Fuentedeprrafopredeter"/>
    <w:link w:val="Ttulo3"/>
    <w:uiPriority w:val="9"/>
    <w:rsid w:val="006F4BFE"/>
    <w:rPr>
      <w:rFonts w:ascii="Calibri Light" w:hAnsi="Calibri Light"/>
      <w:b/>
      <w:bCs/>
      <w:sz w:val="26"/>
      <w:szCs w:val="26"/>
      <w:lang w:eastAsia="en-US"/>
    </w:rPr>
  </w:style>
  <w:style w:type="character" w:customStyle="1" w:styleId="Ttulo5Car">
    <w:name w:val="Título 5 Car"/>
    <w:basedOn w:val="Fuentedeprrafopredeter"/>
    <w:link w:val="Ttulo5"/>
    <w:uiPriority w:val="9"/>
    <w:semiHidden/>
    <w:rsid w:val="006F4BFE"/>
    <w:rPr>
      <w:rFonts w:ascii="Calibri" w:hAnsi="Calibri"/>
      <w:b/>
      <w:bCs/>
      <w:i/>
      <w:iCs/>
      <w:sz w:val="26"/>
      <w:szCs w:val="26"/>
      <w:lang w:eastAsia="en-US"/>
    </w:rPr>
  </w:style>
  <w:style w:type="character" w:customStyle="1" w:styleId="EncabezadoCar">
    <w:name w:val="Encabezado Car"/>
    <w:basedOn w:val="Fuentedeprrafopredeter"/>
    <w:link w:val="Encabezado"/>
    <w:uiPriority w:val="99"/>
    <w:rsid w:val="006F4BFE"/>
    <w:rPr>
      <w:sz w:val="24"/>
      <w:szCs w:val="24"/>
      <w:lang w:val="es-ES_tradnl" w:eastAsia="es-ES_tradnl"/>
    </w:rPr>
  </w:style>
  <w:style w:type="character" w:customStyle="1" w:styleId="PiedepginaCar">
    <w:name w:val="Pie de página Car"/>
    <w:basedOn w:val="Fuentedeprrafopredeter"/>
    <w:link w:val="Piedepgina"/>
    <w:uiPriority w:val="99"/>
    <w:rsid w:val="006F4BFE"/>
    <w:rPr>
      <w:sz w:val="24"/>
      <w:szCs w:val="24"/>
      <w:lang w:val="es-ES_tradnl" w:eastAsia="es-ES_tradnl"/>
    </w:rPr>
  </w:style>
  <w:style w:type="table" w:styleId="Tablaconcuadrcula">
    <w:name w:val="Table Grid"/>
    <w:basedOn w:val="Tablanormal"/>
    <w:uiPriority w:val="59"/>
    <w:rsid w:val="006F4BFE"/>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F4BFE"/>
    <w:pPr>
      <w:spacing w:after="200" w:line="276" w:lineRule="auto"/>
      <w:ind w:left="708"/>
    </w:pPr>
    <w:rPr>
      <w:rFonts w:ascii="Arial" w:eastAsia="Arial" w:hAnsi="Arial"/>
      <w:sz w:val="22"/>
      <w:szCs w:val="22"/>
      <w:lang w:val="es-ES" w:eastAsia="en-US"/>
    </w:rPr>
  </w:style>
  <w:style w:type="paragraph" w:styleId="Textonotapie">
    <w:name w:val="footnote text"/>
    <w:basedOn w:val="Normal"/>
    <w:link w:val="TextonotapieCar"/>
    <w:uiPriority w:val="99"/>
    <w:unhideWhenUsed/>
    <w:rsid w:val="006F4BFE"/>
    <w:pPr>
      <w:spacing w:after="200" w:line="276" w:lineRule="auto"/>
    </w:pPr>
    <w:rPr>
      <w:rFonts w:ascii="Arial" w:eastAsia="Arial" w:hAnsi="Arial"/>
      <w:sz w:val="20"/>
      <w:szCs w:val="20"/>
      <w:lang w:val="es-ES" w:eastAsia="en-US"/>
    </w:rPr>
  </w:style>
  <w:style w:type="character" w:customStyle="1" w:styleId="TextonotapieCar">
    <w:name w:val="Texto nota pie Car"/>
    <w:basedOn w:val="Fuentedeprrafopredeter"/>
    <w:link w:val="Textonotapie"/>
    <w:uiPriority w:val="99"/>
    <w:rsid w:val="006F4BFE"/>
    <w:rPr>
      <w:rFonts w:ascii="Arial" w:eastAsia="Arial" w:hAnsi="Arial"/>
      <w:lang w:eastAsia="en-US"/>
    </w:rPr>
  </w:style>
  <w:style w:type="character" w:styleId="Refdenotaalpie">
    <w:name w:val="footnote reference"/>
    <w:uiPriority w:val="99"/>
    <w:semiHidden/>
    <w:unhideWhenUsed/>
    <w:rsid w:val="006F4BFE"/>
    <w:rPr>
      <w:vertAlign w:val="superscript"/>
    </w:rPr>
  </w:style>
  <w:style w:type="character" w:styleId="Textoennegrita">
    <w:name w:val="Strong"/>
    <w:uiPriority w:val="22"/>
    <w:qFormat/>
    <w:rsid w:val="006F4BFE"/>
    <w:rPr>
      <w:b/>
      <w:bCs/>
    </w:rPr>
  </w:style>
  <w:style w:type="character" w:styleId="nfasis">
    <w:name w:val="Emphasis"/>
    <w:uiPriority w:val="20"/>
    <w:qFormat/>
    <w:rsid w:val="006F4BFE"/>
    <w:rPr>
      <w:i/>
      <w:iCs/>
    </w:rPr>
  </w:style>
  <w:style w:type="paragraph" w:customStyle="1" w:styleId="Default">
    <w:name w:val="Default"/>
    <w:rsid w:val="006F4BFE"/>
    <w:pPr>
      <w:autoSpaceDE w:val="0"/>
      <w:autoSpaceDN w:val="0"/>
      <w:adjustRightInd w:val="0"/>
    </w:pPr>
    <w:rPr>
      <w:rFonts w:ascii="Arial" w:eastAsia="Arial" w:hAnsi="Arial" w:cs="Arial"/>
      <w:color w:val="000000"/>
      <w:sz w:val="24"/>
      <w:szCs w:val="24"/>
    </w:rPr>
  </w:style>
  <w:style w:type="character" w:styleId="Refdecomentario">
    <w:name w:val="annotation reference"/>
    <w:uiPriority w:val="99"/>
    <w:semiHidden/>
    <w:unhideWhenUsed/>
    <w:rsid w:val="006F4BFE"/>
    <w:rPr>
      <w:sz w:val="16"/>
      <w:szCs w:val="16"/>
    </w:rPr>
  </w:style>
  <w:style w:type="paragraph" w:styleId="Textocomentario">
    <w:name w:val="annotation text"/>
    <w:basedOn w:val="Normal"/>
    <w:link w:val="TextocomentarioCar"/>
    <w:uiPriority w:val="99"/>
    <w:semiHidden/>
    <w:unhideWhenUsed/>
    <w:rsid w:val="006F4BFE"/>
    <w:pPr>
      <w:spacing w:after="200" w:line="276" w:lineRule="auto"/>
    </w:pPr>
    <w:rPr>
      <w:rFonts w:ascii="Arial" w:eastAsia="Arial" w:hAnsi="Arial"/>
      <w:sz w:val="20"/>
      <w:szCs w:val="20"/>
      <w:lang w:val="es-ES" w:eastAsia="en-US"/>
    </w:rPr>
  </w:style>
  <w:style w:type="character" w:customStyle="1" w:styleId="TextocomentarioCar">
    <w:name w:val="Texto comentario Car"/>
    <w:basedOn w:val="Fuentedeprrafopredeter"/>
    <w:link w:val="Textocomentario"/>
    <w:uiPriority w:val="99"/>
    <w:semiHidden/>
    <w:rsid w:val="006F4BFE"/>
    <w:rPr>
      <w:rFonts w:ascii="Arial" w:eastAsia="Arial" w:hAnsi="Arial"/>
      <w:lang w:eastAsia="en-US"/>
    </w:rPr>
  </w:style>
  <w:style w:type="paragraph" w:styleId="Asuntodelcomentario">
    <w:name w:val="annotation subject"/>
    <w:basedOn w:val="Textocomentario"/>
    <w:next w:val="Textocomentario"/>
    <w:link w:val="AsuntodelcomentarioCar"/>
    <w:uiPriority w:val="99"/>
    <w:semiHidden/>
    <w:unhideWhenUsed/>
    <w:rsid w:val="006F4BFE"/>
    <w:rPr>
      <w:b/>
      <w:bCs/>
    </w:rPr>
  </w:style>
  <w:style w:type="character" w:customStyle="1" w:styleId="AsuntodelcomentarioCar">
    <w:name w:val="Asunto del comentario Car"/>
    <w:basedOn w:val="TextocomentarioCar"/>
    <w:link w:val="Asuntodelcomentario"/>
    <w:uiPriority w:val="99"/>
    <w:semiHidden/>
    <w:rsid w:val="006F4BFE"/>
    <w:rPr>
      <w:rFonts w:ascii="Arial" w:eastAsia="Arial" w:hAnsi="Arial"/>
      <w:b/>
      <w:bCs/>
      <w:lang w:eastAsia="en-US"/>
    </w:rPr>
  </w:style>
  <w:style w:type="character" w:customStyle="1" w:styleId="Cuerpodeltexto2">
    <w:name w:val="Cuerpo del texto (2)_"/>
    <w:basedOn w:val="Fuentedeprrafopredeter"/>
    <w:link w:val="Cuerpodeltexto20"/>
    <w:rsid w:val="009B25A5"/>
    <w:rPr>
      <w:rFonts w:ascii="Arial" w:eastAsia="Arial" w:hAnsi="Arial" w:cs="Arial"/>
      <w:i/>
      <w:iCs/>
      <w:shd w:val="clear" w:color="auto" w:fill="FFFFFF"/>
    </w:rPr>
  </w:style>
  <w:style w:type="character" w:customStyle="1" w:styleId="Cuerpodeltexto2105ptoSincursiva">
    <w:name w:val="Cuerpo del texto (2) + 10;5 pto;Sin cursiva"/>
    <w:basedOn w:val="Cuerpodeltexto2"/>
    <w:rsid w:val="009B25A5"/>
    <w:rPr>
      <w:rFonts w:ascii="Arial" w:eastAsia="Arial" w:hAnsi="Arial" w:cs="Arial"/>
      <w:i/>
      <w:iCs/>
      <w:color w:val="000000"/>
      <w:spacing w:val="0"/>
      <w:w w:val="100"/>
      <w:position w:val="0"/>
      <w:sz w:val="21"/>
      <w:szCs w:val="21"/>
      <w:shd w:val="clear" w:color="auto" w:fill="FFFFFF"/>
      <w:lang w:val="es-ES" w:eastAsia="es-ES" w:bidi="es-ES"/>
    </w:rPr>
  </w:style>
  <w:style w:type="paragraph" w:customStyle="1" w:styleId="Cuerpodeltexto20">
    <w:name w:val="Cuerpo del texto (2)"/>
    <w:basedOn w:val="Normal"/>
    <w:link w:val="Cuerpodeltexto2"/>
    <w:rsid w:val="009B25A5"/>
    <w:pPr>
      <w:widowControl w:val="0"/>
      <w:shd w:val="clear" w:color="auto" w:fill="FFFFFF"/>
      <w:spacing w:before="1200" w:after="240" w:line="250" w:lineRule="exact"/>
      <w:ind w:hanging="380"/>
      <w:jc w:val="both"/>
    </w:pPr>
    <w:rPr>
      <w:rFonts w:ascii="Arial" w:eastAsia="Arial" w:hAnsi="Arial" w:cs="Arial"/>
      <w:i/>
      <w:i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25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A0336C7DC3E0F45ABB1D27EAA5B9CE9" ma:contentTypeVersion="" ma:contentTypeDescription="Crear nuevo documento." ma:contentTypeScope="" ma:versionID="4ce135793bc3da0d460faf9c57087bbb">
  <xsd:schema xmlns:xsd="http://www.w3.org/2001/XMLSchema" xmlns:xs="http://www.w3.org/2001/XMLSchema" xmlns:p="http://schemas.microsoft.com/office/2006/metadata/properties" xmlns:ns2="BAA92BB6-DC08-49CA-A1DF-66ADF831DDC1" xmlns:ns3="46c31bdf-0a45-4935-a8a6-0d358e08cfce" xmlns:ns4="baa92bb6-dc08-49ca-a1df-66adf831ddc1" targetNamespace="http://schemas.microsoft.com/office/2006/metadata/properties" ma:root="true" ma:fieldsID="f0e87ccc89a3d7f844d27135919f1ec9" ns2:_="" ns3:_="" ns4:_="">
    <xsd:import namespace="BAA92BB6-DC08-49CA-A1DF-66ADF831DDC1"/>
    <xsd:import namespace="46c31bdf-0a45-4935-a8a6-0d358e08cfce"/>
    <xsd:import namespace="baa92bb6-dc08-49ca-a1df-66adf831d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1bdf-0a45-4935-a8a6-0d358e08cf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FA14C0-C27A-4733-A70F-C32435EF3B16}">
  <ds:schemaRefs>
    <ds:schemaRef ds:uri="http://schemas.openxmlformats.org/officeDocument/2006/bibliography"/>
  </ds:schemaRefs>
</ds:datastoreItem>
</file>

<file path=customXml/itemProps2.xml><?xml version="1.0" encoding="utf-8"?>
<ds:datastoreItem xmlns:ds="http://schemas.openxmlformats.org/officeDocument/2006/customXml" ds:itemID="{B4C278A8-F4AF-4E2C-BF53-0202D50E7580}"/>
</file>

<file path=customXml/itemProps3.xml><?xml version="1.0" encoding="utf-8"?>
<ds:datastoreItem xmlns:ds="http://schemas.openxmlformats.org/officeDocument/2006/customXml" ds:itemID="{DA5334E9-670D-49A3-BDFE-0E748CEC58F9}"/>
</file>

<file path=customXml/itemProps4.xml><?xml version="1.0" encoding="utf-8"?>
<ds:datastoreItem xmlns:ds="http://schemas.openxmlformats.org/officeDocument/2006/customXml" ds:itemID="{FAC5E0E7-98D1-46D5-9AB9-8873B198956E}"/>
</file>

<file path=docProps/app.xml><?xml version="1.0" encoding="utf-8"?>
<Properties xmlns="http://schemas.openxmlformats.org/officeDocument/2006/extended-properties" xmlns:vt="http://schemas.openxmlformats.org/officeDocument/2006/docPropsVTypes">
  <Template>Normal.dotm</Template>
  <TotalTime>6</TotalTime>
  <Pages>9</Pages>
  <Words>4113</Words>
  <Characters>22626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Lorem ipsum dolor sit amet, usu ei laudem platonem</vt:lpstr>
    </vt:vector>
  </TitlesOfParts>
  <Company>Comunidad de Madrid</Company>
  <LinksUpToDate>false</LinksUpToDate>
  <CharactersWithSpaces>26686</CharactersWithSpaces>
  <SharedDoc>false</SharedDoc>
  <HLinks>
    <vt:vector size="12" baseType="variant">
      <vt:variant>
        <vt:i4>1966183</vt:i4>
      </vt:variant>
      <vt:variant>
        <vt:i4>-1</vt:i4>
      </vt:variant>
      <vt:variant>
        <vt:i4>2050</vt:i4>
      </vt:variant>
      <vt:variant>
        <vt:i4>1</vt:i4>
      </vt:variant>
      <vt:variant>
        <vt:lpwstr>simbolo</vt:lpwstr>
      </vt:variant>
      <vt:variant>
        <vt:lpwstr/>
      </vt:variant>
      <vt:variant>
        <vt:i4>1966183</vt:i4>
      </vt:variant>
      <vt:variant>
        <vt:i4>-1</vt:i4>
      </vt:variant>
      <vt:variant>
        <vt:i4>2051</vt:i4>
      </vt:variant>
      <vt:variant>
        <vt:i4>1</vt:i4>
      </vt:variant>
      <vt:variant>
        <vt:lpwstr>simbolo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usu ei laudem platonem</dc:title>
  <dc:subject/>
  <dc:creator>COMUNIDAD</dc:creator>
  <cp:keywords/>
  <dc:description/>
  <cp:lastModifiedBy>M</cp:lastModifiedBy>
  <cp:revision>3</cp:revision>
  <cp:lastPrinted>2019-09-24T09:57:00Z</cp:lastPrinted>
  <dcterms:created xsi:type="dcterms:W3CDTF">2022-09-07T08:07:00Z</dcterms:created>
  <dcterms:modified xsi:type="dcterms:W3CDTF">2022-09-07T08:12:00Z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0x0101004A0336C7DC3E0F45ABB1D27EAA5B9CE9</vt:lpwstr>
  </property>
</Properties>
</file>